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GHL agency email sender name =</w:t>
      </w:r>
      <w:r>
        <w:rPr>
          <w:b/>
          <w:bCs/>
        </w:rPr>
        <w:t xml:space="preserve"> </w:t>
      </w:r>
      <w:r>
        <w:rPr>
          <w:b/>
          <w:bCs/>
        </w:rPr>
        <w:t xml:space="preserve">“Ledgerix Pro LLC”</w:t>
      </w:r>
      <w:r>
        <w:rPr>
          <w:b/>
          <w:bCs/>
        </w:rPr>
        <w:t xml:space="preserve"> </w:t>
      </w:r>
      <w:r>
        <w:rPr>
          <w:b/>
          <w:bCs/>
        </w:rPr>
        <w:t xml:space="preserve">(HIGH, employee-facing) -&gt; HighLevel support ticket</w:t>
      </w:r>
      <w:r>
        <w:t xml:space="preserve"> </w:t>
      </w:r>
      <w:r>
        <w:t xml:space="preserve">— DONE July 28: Enyrgy agency mailing address corrected to Phoenix; Business Category fixed Medical -&gt; Health &amp; Wellness (no A2P impact, separate TCR filing). FULLY DIAGNOSED: Scott runs TWO SEPARATE GHL agencies under one login, each with its own Relationship Number and each internally correct: Enyrgy Inc (0-167-470, all fields Enyrgy) and Ledgerix Pro LLC (0-783-665, all fields Ledgerix). The Enyrgy agency’s system emails render bodies correctly ({{agency.name}} = Enyrgy Inc) but stamp the SENDER display name as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(the other agency). Not editable in either agency’s settings -&gt; it is a HighLevel PLATFORM cross-agency sender-identity issue for a multi-agency admin. FIX: send the drafted HighLevel support ticket (asks them to make Enyrgy agency 0-167-470 use</w:t>
      </w:r>
      <w:r>
        <w:t xml:space="preserve"> </w:t>
      </w:r>
      <w:r>
        <w:t xml:space="preserve">“Enyrgy Inc”</w:t>
      </w:r>
      <w:r>
        <w:t xml:space="preserve"> </w:t>
      </w:r>
      <w:r>
        <w:t xml:space="preserve">as the system-email sender). Optional self-check first: My Profile for a default/primary-agency setting.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3"/>
  </w:num>
  <w:num w:numId="1019">
    <w:abstractNumId w:val="992"/>
  </w:num>
  <w:num w:numId="1020">
    <w:abstractNumId w:val="992"/>
  </w:num>
  <w:num w:numId="1021">
    <w:abstractNumId w:val="993"/>
  </w:num>
  <w:num w:numId="1022">
    <w:abstractNumId w:val="993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3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2026-07-29T15:55:56Z</dcterms:created>
  <dcterms:modified xsi:type="dcterms:W3CDTF">2026-07-29T15:55:56Z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