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28, 2026 (Session 15).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(Session 10) + 57 current investors (Session 16)</w:t>
            </w:r>
          </w:p>
        </w:tc>
      </w:tr>
      <w:tr>
        <w:tc>
          <w:tcPr/>
          <w:p>
            <w:pPr>
              <w:pStyle w:val="Compact"/>
            </w:pPr>
            <w:r>
              <w:t xml:space="preserve">Campaign Copy Backup</w:t>
            </w:r>
          </w:p>
        </w:tc>
        <w:tc>
          <w:tcPr/>
          <w:p>
            <w:pPr>
              <w:pStyle w:val="Compact"/>
            </w:pPr>
            <w:r>
              <w:rPr>
                <w:b/>
                <w:bCs/>
              </w:rPr>
              <w:t xml:space="preserve">COMPLETE (Session 16, Aug 3).</w:t>
            </w:r>
            <w:r>
              <w:t xml:space="preserve"> </w:t>
            </w:r>
            <w:r>
              <w:t xml:space="preserve">All 19 workflows in</w:t>
            </w:r>
            <w:r>
              <w:t xml:space="preserve"> </w:t>
            </w:r>
            <w:r>
              <w:rPr>
                <w:rStyle w:val="VerbatimChar"/>
              </w:rPr>
              <w:t xml:space="preserve">campaigns/</w:t>
            </w:r>
            <w:r>
              <w:t xml:space="preserve">, 94 touches, 83 corrections applied. Every live email and SMS is version-controlled as .md + .docx with a per-workflow change log. GHL stays the source of truth: change GHL first, then the file.</w:t>
            </w:r>
          </w:p>
        </w:tc>
      </w:tr>
      <w:tr>
        <w:tc>
          <w:tcPr/>
          <w:p>
            <w:pPr>
              <w:pStyle w:val="Compact"/>
            </w:pPr>
            <w:r>
              <w:t xml:space="preserve">Inbound Reply Visibility</w:t>
            </w:r>
          </w:p>
        </w:tc>
        <w:tc>
          <w:tcPr/>
          <w:p>
            <w:pPr>
              <w:pStyle w:val="Compact"/>
            </w:pPr>
            <w:r>
              <w:rPr>
                <w:b/>
                <w:bCs/>
              </w:rPr>
              <w:t xml:space="preserve">RESOLVED (Session 16, Aug 4).</w:t>
            </w:r>
            <w:r>
              <w:t xml:space="preserve"> </w:t>
            </w:r>
            <w:r>
              <w:t xml:space="preserve">WF-35 Customer Replied Notification live and fully verified. GHL’s built-in notification carries no message text and its reply path reaches nobody. Conversation Notification rows 1 and 3 moved from Email to In-App.</w:t>
            </w:r>
          </w:p>
        </w:tc>
      </w:tr>
      <w:tr>
        <w:tc>
          <w:tcPr/>
          <w:p>
            <w:pPr>
              <w:pStyle w:val="Compact"/>
            </w:pPr>
            <w:r>
              <w:t xml:space="preserve">WF-01 Inbound Contact Leak</w:t>
            </w:r>
          </w:p>
        </w:tc>
        <w:tc>
          <w:tcPr/>
          <w:p>
            <w:pPr>
              <w:pStyle w:val="Compact"/>
            </w:pPr>
            <w:r>
              <w:rPr>
                <w:b/>
                <w:bCs/>
              </w:rPr>
              <w:t xml:space="preserve">FIXED (Session 16, Aug 4).</w:t>
            </w:r>
            <w:r>
              <w:t xml:space="preserve"> </w:t>
            </w:r>
            <w:r>
              <w:t xml:space="preserve">Inbound mail to mg.enyrgy.com from an unrecognised address created a contact that WF-01 routed to Default Consumer and tagged</w:t>
            </w:r>
            <w:r>
              <w:t xml:space="preserve"> </w:t>
            </w:r>
            <w:r>
              <w:rPr>
                <w:rStyle w:val="VerbatimChar"/>
              </w:rPr>
              <w:t xml:space="preserve">type_consumer</w:t>
            </w:r>
            <w:r>
              <w:t xml:space="preserve">, enrolling it in the Consumer Drip. Guard now excludes</w:t>
            </w:r>
            <w:r>
              <w:t xml:space="preserve"> </w:t>
            </w:r>
            <w:r>
              <w:rPr>
                <w:rStyle w:val="VerbatimChar"/>
              </w:rPr>
              <w:t xml:space="preserve">@enyrgy.com</w:t>
            </w:r>
            <w:r>
              <w:t xml:space="preserve"> </w:t>
            </w:r>
            <w:r>
              <w:t xml:space="preserve">and the new</w:t>
            </w:r>
            <w:r>
              <w:t xml:space="preserve"> </w:t>
            </w:r>
            <w:r>
              <w:rPr>
                <w:rStyle w:val="VerbatimChar"/>
              </w:rPr>
              <w:t xml:space="preserve">no_route</w:t>
            </w:r>
            <w:r>
              <w:t xml:space="preserve"> </w:t>
            </w:r>
            <w:r>
              <w:t xml:space="preserve">tag. Swept: only</w:t>
            </w:r>
            <w:r>
              <w:t xml:space="preserve"> </w:t>
            </w:r>
            <w:r>
              <w:rPr>
                <w:rStyle w:val="VerbatimChar"/>
              </w:rPr>
              <w:t xml:space="preserve">scott@enyrgy.com</w:t>
            </w:r>
            <w:r>
              <w:t xml:space="preserve"> </w:t>
            </w:r>
            <w:r>
              <w:t xml:space="preserve">was affected, deleted.</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Reactivation 6h, KB Manager 30d. Held (volume-gated, enable when volume ramps; daily is plenty): Referral and Reviews (block trimmed - review/testimonial live, referral paused),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FlexOffers Affiliate</w:t>
            </w:r>
          </w:p>
        </w:tc>
        <w:tc>
          <w:tcPr/>
          <w:p>
            <w:pPr>
              <w:pStyle w:val="Compact"/>
            </w:pPr>
            <w:r>
              <w:t xml:space="preserve">Publisher migration UNDERWAY, not finished (Aug 4).</w:t>
            </w:r>
            <w:r>
              <w:t xml:space="preserve"> </w:t>
            </w:r>
            <w:r>
              <w:rPr>
                <w:b/>
                <w:bCs/>
              </w:rPr>
              <w:t xml:space="preserve">Old program #247334 cannot be deactivated until every publisher is across</w:t>
            </w:r>
            <w:r>
              <w:t xml:space="preserve">, or anyone not yet moved loses their links. Separately, a publisher has already tried to grab old creative</w:t>
            </w:r>
            <w:r>
              <w:t xml:space="preserve"> </w:t>
            </w:r>
            <w:r>
              <w:rPr>
                <w:b/>
                <w:bCs/>
              </w:rPr>
              <w:t xml:space="preserve">#6673701</w:t>
            </w:r>
            <w:r>
              <w:t xml:space="preserve">, which has no S2S tracking and so pays nothing; ask Brittany whether that creative can be disabled early. YourTango begins promoting Wed Aug 5.</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Current investor import</w:t>
            </w:r>
          </w:p>
        </w:tc>
        <w:tc>
          <w:tcPr/>
          <w:p>
            <w:pPr>
              <w:pStyle w:val="Compact"/>
            </w:pPr>
            <w:r>
              <w:t xml:space="preserve">COMPLETE (Session 16, July 31)</w:t>
            </w:r>
          </w:p>
        </w:tc>
        <w:tc>
          <w:tcPr/>
          <w:p>
            <w:pPr>
              <w:pStyle w:val="Compact"/>
            </w:pPr>
            <w:r>
              <w:t xml:space="preserve">57 imported, $10,373,000 funded. Tagged seg_investor_current + drip_bypass + source_investor_import;</w:t>
            </w:r>
            <w:r>
              <w:t xml:space="preserve"> </w:t>
            </w:r>
            <w:r>
              <w:rPr>
                <w:b/>
                <w:bCs/>
              </w:rPr>
              <w:t xml:space="preserve">never type_investor</w:t>
            </w:r>
            <w:r>
              <w:t xml:space="preserve"> </w:t>
            </w:r>
            <w:r>
              <w:t xml:space="preserve">(triggers the cold 8-touch Investor Drip). WF-01</w:t>
            </w:r>
            <w:r>
              <w:t xml:space="preserve"> </w:t>
            </w:r>
            <w:r>
              <w:rPr>
                <w:b/>
                <w:bCs/>
              </w:rPr>
              <w:t xml:space="preserve">and WF-31</w:t>
            </w:r>
            <w:r>
              <w:t xml:space="preserve"> </w:t>
            </w:r>
            <w:r>
              <w:t xml:space="preserve">unpublished during import - WF-31 FlexOffers First Touch is a SECOND Contact Created trigger that post-dates the Session 10 audit. 46 created + 10 updated (dual-role legacy customers); 1 row failed silently and was added by hand. Smart list</w:t>
            </w:r>
            <w:r>
              <w:t xml:space="preserve"> </w:t>
            </w:r>
            <w:r>
              <w:t xml:space="preserve">“Investors - Current”</w:t>
            </w:r>
            <w:r>
              <w:t xml:space="preserve">.</w:t>
            </w:r>
          </w:p>
        </w:tc>
      </w:tr>
      <w:tr>
        <w:tc>
          <w:tcPr/>
          <w:p>
            <w:pPr>
              <w:pStyle w:val="Compact"/>
            </w:pPr>
            <w:r>
              <w:t xml:space="preserve">Investor Spreadsheet (prospects)</w:t>
            </w:r>
          </w:p>
        </w:tc>
        <w:tc>
          <w:tcPr/>
          <w:p>
            <w:pPr>
              <w:pStyle w:val="Compact"/>
            </w:pPr>
            <w:r>
              <w:t xml:space="preserve">In Progress</w:t>
            </w:r>
          </w:p>
        </w:tc>
        <w:tc>
          <w:tcPr/>
          <w:p>
            <w:pPr>
              <w:pStyle w:val="Compact"/>
            </w:pPr>
            <w:r>
              <w:t xml:space="preserve">100+ prospect contacts being entered. Separate from the 57 current investors above; keep prospects out of seg_investor_current.</w:t>
            </w:r>
          </w:p>
        </w:tc>
      </w:tr>
      <w:tr>
        <w:tc>
          <w:tcPr/>
          <w:p>
            <w:pPr>
              <w:pStyle w:val="Compact"/>
            </w:pPr>
            <w:r>
              <w:t xml:space="preserve">Import Process</w:t>
            </w:r>
          </w:p>
        </w:tc>
        <w:tc>
          <w:tcPr/>
          <w:p>
            <w:pPr>
              <w:pStyle w:val="Compact"/>
            </w:pPr>
            <w:r>
              <w:t xml:space="preserve">Proven (Session 16)</w:t>
            </w:r>
          </w:p>
        </w:tc>
        <w:tc>
          <w:tcPr/>
          <w:p>
            <w:pPr>
              <w:pStyle w:val="Compact"/>
            </w:pPr>
            <w:r>
              <w:t xml:space="preserve">GHL’s 4-step wizard (Start/Upload/Map/Verify). Phone is a valid update-match key with no email-only override, so blank duplicate phones before importing. Verify-step preferences (Add to workflow / Add tags / Create a Smartlist) all OFF.</w:t>
            </w:r>
            <w:r>
              <w:t xml:space="preserve"> </w:t>
            </w:r>
            <w:r>
              <w:rPr>
                <w:b/>
                <w:bCs/>
              </w:rPr>
              <w:t xml:space="preserve">Verify by smart-list count, not the wizard - a failed row raises no error.</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Complete (Jul 28)</w:t>
            </w:r>
          </w:p>
        </w:tc>
        <w:tc>
          <w:tcPr/>
          <w:p>
            <w:pPr>
              <w:pStyle w:val="Compact"/>
            </w:pPr>
            <w:r>
              <w:t xml:space="preserve">Conflict detection verified/fixed</w:t>
            </w:r>
          </w:p>
        </w:tc>
      </w:tr>
      <w:tr>
        <w:tc>
          <w:tcPr/>
          <w:p>
            <w:pPr>
              <w:pStyle w:val="Compact"/>
            </w:pPr>
            <w:r>
              <w:t xml:space="preserve">Shopify Referral App</w:t>
            </w:r>
          </w:p>
        </w:tc>
        <w:tc>
          <w:tcPr/>
          <w:p>
            <w:pPr>
              <w:pStyle w:val="Compact"/>
            </w:pPr>
            <w:r>
              <w:t xml:space="preserve">DEFERRED (Jul 28)</w:t>
            </w:r>
          </w:p>
        </w:tc>
        <w:tc>
          <w:tcPr/>
          <w:p>
            <w:pPr>
              <w:pStyle w:val="Compact"/>
            </w:pPr>
            <w:r>
              <w:t xml:space="preserve">Not installing a third-party app; referral/loyalty will be built into the next Enyrgy version</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Complete (Jul 28)</w:t>
            </w:r>
          </w:p>
        </w:tc>
        <w:tc>
          <w:tcPr/>
          <w:p>
            <w:pPr>
              <w:pStyle w:val="Compact"/>
            </w:pPr>
            <w:r>
              <w:t xml:space="preserve">Link added to the website</w:t>
            </w:r>
          </w:p>
        </w:tc>
      </w:tr>
    </w:tbl>
    <w:bookmarkEnd w:id="18"/>
    <w:bookmarkStart w:id="19" w:name="low-priority-future"/>
    <w:p>
      <w:pPr>
        <w:pStyle w:val="Heading3"/>
      </w:pPr>
      <w:r>
        <w:t xml:space="preserve">LOW Priority / Future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Complete</w:t>
            </w:r>
          </w:p>
        </w:tc>
        <w:tc>
          <w:tcPr/>
          <w:p>
            <w:pPr>
              <w:pStyle w:val="Compact"/>
            </w:pPr>
            <w:r>
              <w:t xml:space="preserve">Approved in LC Phone, Friendly Name</w:t>
            </w:r>
            <w:r>
              <w:t xml:space="preserve"> </w:t>
            </w:r>
            <w:r>
              <w:t xml:space="preserve">“Enyrgy Inc”</w:t>
            </w:r>
          </w:p>
        </w:tc>
      </w:tr>
      <w:tr>
        <w:tc>
          <w:tcPr/>
          <w:p>
            <w:pPr>
              <w:pStyle w:val="Compact"/>
            </w:pPr>
            <w:r>
              <w:t xml:space="preserve">GHL agency mailing address</w:t>
            </w:r>
          </w:p>
        </w:tc>
        <w:tc>
          <w:tcPr/>
          <w:p>
            <w:pPr>
              <w:pStyle w:val="Compact"/>
            </w:pPr>
            <w:r>
              <w:t xml:space="preserve">Complete (Jul 28)</w:t>
            </w:r>
          </w:p>
        </w:tc>
        <w:tc>
          <w:tcPr/>
          <w:p>
            <w:pPr>
              <w:pStyle w:val="Compact"/>
            </w:pPr>
            <w:r>
              <w:t xml:space="preserve">Corrected to Phoenix at the agency level (was Scottsdale in the CAN-SPAM footer)</w:t>
            </w:r>
          </w:p>
        </w:tc>
      </w:tr>
      <w:tr>
        <w:tc>
          <w:tcPr/>
          <w:p>
            <w:pPr>
              <w:pStyle w:val="Compact"/>
            </w:pPr>
            <w:r>
              <w:t xml:space="preserve">GHL agency Business Category</w:t>
            </w:r>
          </w:p>
        </w:tc>
        <w:tc>
          <w:tcPr/>
          <w:p>
            <w:pPr>
              <w:pStyle w:val="Compact"/>
            </w:pPr>
            <w:r>
              <w:t xml:space="preserve">Complete (Jul 28)</w:t>
            </w:r>
          </w:p>
        </w:tc>
        <w:tc>
          <w:tcPr/>
          <w:p>
            <w:pPr>
              <w:pStyle w:val="Compact"/>
            </w:pPr>
            <w:r>
              <w:t xml:space="preserve">Fixed Medical -&gt; Health &amp; Wellness (Self Service Health Station); matches wellness positioning. No A2P impact (separate TCR filing)</w:t>
            </w:r>
          </w:p>
        </w:tc>
      </w:tr>
      <w:tr>
        <w:tc>
          <w:tcPr/>
          <w:p>
            <w:pPr>
              <w:pStyle w:val="Compact"/>
            </w:pPr>
            <w:r>
              <w:t xml:space="preserve">GHL agency email sender name</w:t>
            </w:r>
          </w:p>
        </w:tc>
        <w:tc>
          <w:tcPr/>
          <w:p>
            <w:pPr>
              <w:pStyle w:val="Compact"/>
            </w:pPr>
            <w:r>
              <w:t xml:space="preserve">Sent to HighLevel (Jul 28)</w:t>
            </w:r>
          </w:p>
        </w:tc>
        <w:tc>
          <w:tcPr/>
          <w:p>
            <w:pPr>
              <w:pStyle w:val="Compact"/>
            </w:pPr>
            <w:r>
              <w:t xml:space="preserve">HIGH, employee-facing. Enyrgy agency (rel 0-167-470) emails send with sender name</w:t>
            </w:r>
            <w:r>
              <w:t xml:space="preserve"> </w:t>
            </w:r>
            <w:r>
              <w:t xml:space="preserve">“Ledgerix Pro LLC”</w:t>
            </w:r>
            <w:r>
              <w:t xml:space="preserve"> </w:t>
            </w:r>
            <w:r>
              <w:t xml:space="preserve">(Scott’s separate agency, rel 0-783-665). Both agencies internally correct -&gt; platform cross-agency bug. Support ticket SENT; awaiting HighLevel resolution.</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Resolved (Jul 28)</w:t>
            </w:r>
          </w:p>
        </w:tc>
        <w:tc>
          <w:tcPr/>
          <w:p>
            <w:pPr>
              <w:pStyle w:val="Compact"/>
            </w:pPr>
            <w:r>
              <w:t xml:space="preserve">Conflict detection verified working</w:t>
            </w:r>
          </w:p>
        </w:tc>
      </w:tr>
      <w:tr>
        <w:tc>
          <w:tcPr/>
          <w:p>
            <w:pPr>
              <w:pStyle w:val="Compact"/>
            </w:pPr>
            <w:r>
              <w:t xml:space="preserve">Paperclip phantom-completion</w:t>
            </w:r>
          </w:p>
        </w:tc>
        <w:tc>
          <w:tcPr/>
          <w:p>
            <w:pPr>
              <w:pStyle w:val="Compact"/>
            </w:pPr>
            <w:r>
              <w:t xml:space="preserve">n/a</w:t>
            </w:r>
          </w:p>
        </w:tc>
        <w:tc>
          <w:tcPr/>
          <w:p>
            <w:pPr>
              <w:pStyle w:val="Compact"/>
            </w:pPr>
            <w:r>
              <w:t xml:space="preserve">NOT A BUG (Jul 28)</w:t>
            </w:r>
          </w:p>
        </w:tc>
        <w:tc>
          <w:tcPr/>
          <w:p>
            <w:pPr>
              <w:pStyle w:val="Compact"/>
            </w:pPr>
            <w:r>
              <w:t xml:space="preserve">Investigated the recovery code: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the only</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claim was another COO confabulation, not a code defect. No fix needed.</w:t>
            </w:r>
          </w:p>
        </w:tc>
      </w:tr>
      <w:tr>
        <w:tc>
          <w:tcPr/>
          <w:p>
            <w:pPr>
              <w:pStyle w:val="Compact"/>
            </w:pPr>
            <w:r>
              <w:t xml:space="preserve">Accessory reorders triggered device onboarding</w:t>
            </w:r>
          </w:p>
        </w:tc>
        <w:tc>
          <w:tcPr/>
          <w:p>
            <w:pPr>
              <w:pStyle w:val="Compact"/>
            </w:pPr>
            <w:r>
              <w:t xml:space="preserve">Medium</w:t>
            </w:r>
          </w:p>
        </w:tc>
        <w:tc>
          <w:tcPr/>
          <w:p>
            <w:pPr>
              <w:pStyle w:val="Compact"/>
            </w:pPr>
            <w:r>
              <w:t xml:space="preserve">RESOLVED (Jul 28)</w:t>
            </w:r>
          </w:p>
        </w:tc>
        <w:tc>
          <w:tcPr/>
          <w:p>
            <w:pPr>
              <w:pStyle w:val="Compact"/>
            </w:pPr>
            <w:r>
              <w:t xml:space="preserve">WF-28 applied</w:t>
            </w:r>
            <w:r>
              <w:t xml:space="preserve"> </w:t>
            </w:r>
            <w:r>
              <w:rPr>
                <w:rStyle w:val="VerbatimChar"/>
              </w:rPr>
              <w:t xml:space="preserve">unit_shipped</w:t>
            </w:r>
            <w:r>
              <w:t xml:space="preserve"> </w:t>
            </w:r>
            <w:r>
              <w:t xml:space="preserve">on ANY fulfilled Shopify order, so an accessory-only reorder (wall mount) re-fired WF-06 onboarding days after delivery. Fix: gated WF-28’s Order-Fulfilled trigger to Home-System orders only. WF-06 triggers on the</w:t>
            </w:r>
            <w:r>
              <w:t xml:space="preserve"> </w:t>
            </w:r>
            <w:r>
              <w:rPr>
                <w:rStyle w:val="VerbatimChar"/>
              </w:rPr>
              <w:t xml:space="preserve">unit_shipped</w:t>
            </w:r>
            <w:r>
              <w:t xml:space="preserve"> </w:t>
            </w:r>
            <w:r>
              <w:t xml:space="preserve">tag, so the single filter fully controls it.</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r>
        <w:tc>
          <w:tcPr/>
          <w:p>
            <w:pPr>
              <w:pStyle w:val="Compact"/>
            </w:pPr>
            <w:r>
              <w:t xml:space="preserve">Inbound email created consumer leads</w:t>
            </w:r>
          </w:p>
        </w:tc>
        <w:tc>
          <w:tcPr/>
          <w:p>
            <w:pPr>
              <w:pStyle w:val="Compact"/>
            </w:pPr>
            <w:r>
              <w:t xml:space="preserve">High</w:t>
            </w:r>
          </w:p>
        </w:tc>
        <w:tc>
          <w:tcPr/>
          <w:p>
            <w:pPr>
              <w:pStyle w:val="Compact"/>
            </w:pPr>
            <w:r>
              <w:t xml:space="preserve">RESOLVED (Aug 4)</w:t>
            </w:r>
          </w:p>
        </w:tc>
        <w:tc>
          <w:tcPr/>
          <w:p>
            <w:pPr>
              <w:pStyle w:val="Compact"/>
            </w:pPr>
            <w:r>
              <w:t xml:space="preserve">Any inbound mail to mg.enyrgy.com from an unrecognised address created a contact; WF-01’s</w:t>
            </w:r>
            <w:r>
              <w:t xml:space="preserve"> </w:t>
            </w:r>
            <w:r>
              <w:rPr>
                <w:rStyle w:val="VerbatimChar"/>
              </w:rPr>
              <w:t xml:space="preserve">Default Consumer</w:t>
            </w:r>
            <w:r>
              <w:t xml:space="preserve"> </w:t>
            </w:r>
            <w:r>
              <w:t xml:space="preserve">fallthrough tagged it</w:t>
            </w:r>
            <w:r>
              <w:t xml:space="preserve"> </w:t>
            </w:r>
            <w:r>
              <w:rPr>
                <w:rStyle w:val="VerbatimChar"/>
              </w:rPr>
              <w:t xml:space="preserve">type_consumer</w:t>
            </w:r>
            <w:r>
              <w:t xml:space="preserve"> </w:t>
            </w:r>
            <w:r>
              <w:t xml:space="preserve">and enrolled it in the Consumer Drip. Auto-replies, bounces, vendor mail and spam all qualified, and nothing errored. Guard extended to exclude</w:t>
            </w:r>
            <w:r>
              <w:t xml:space="preserve"> </w:t>
            </w:r>
            <w:r>
              <w:rPr>
                <w:rStyle w:val="VerbatimChar"/>
              </w:rPr>
              <w:t xml:space="preserve">@enyrgy.com</w:t>
            </w:r>
            <w:r>
              <w:t xml:space="preserve"> </w:t>
            </w:r>
            <w:r>
              <w:t xml:space="preserve">and</w:t>
            </w:r>
            <w:r>
              <w:t xml:space="preserve"> </w:t>
            </w:r>
            <w:r>
              <w:rPr>
                <w:rStyle w:val="VerbatimChar"/>
              </w:rPr>
              <w:t xml:space="preserve">no_route</w:t>
            </w:r>
            <w:r>
              <w:t xml:space="preserve">. Verified phone-only leads still route.</w:t>
            </w:r>
          </w:p>
        </w:tc>
      </w:tr>
      <w:tr>
        <w:tc>
          <w:tcPr/>
          <w:p>
            <w:pPr>
              <w:pStyle w:val="Compact"/>
            </w:pPr>
            <w:r>
              <w:t xml:space="preserve">Built-in reply notification reaches nobody</w:t>
            </w:r>
          </w:p>
        </w:tc>
        <w:tc>
          <w:tcPr/>
          <w:p>
            <w:pPr>
              <w:pStyle w:val="Compact"/>
            </w:pPr>
            <w:r>
              <w:t xml:space="preserve">Medium</w:t>
            </w:r>
          </w:p>
        </w:tc>
        <w:tc>
          <w:tcPr/>
          <w:p>
            <w:pPr>
              <w:pStyle w:val="Compact"/>
            </w:pPr>
            <w:r>
              <w:t xml:space="preserve">MITIGATED (Aug 4)</w:t>
            </w:r>
          </w:p>
        </w:tc>
        <w:tc>
          <w:tcPr/>
          <w:p>
            <w:pPr>
              <w:pStyle w:val="Compact"/>
            </w:pPr>
            <w:r>
              <w:t xml:space="preserve">GHL sends it as though from Scott, so replying addresses</w:t>
            </w:r>
            <w:r>
              <w:t xml:space="preserve"> </w:t>
            </w:r>
            <w:r>
              <w:rPr>
                <w:rStyle w:val="VerbatimChar"/>
              </w:rPr>
              <w:t xml:space="preserve">scott@mg.enyrgy.com</w:t>
            </w:r>
            <w:r>
              <w:t xml:space="preserve">, his own sending-subdomain address. Mail disappears with no error. WF-35’s notification states this explicitly in its body. Cannot be fixed at source; the warning is the mitigation.</w:t>
            </w:r>
          </w:p>
        </w:tc>
      </w:tr>
      <w:tr>
        <w:tc>
          <w:tcPr/>
          <w:p>
            <w:pPr>
              <w:pStyle w:val="Compact"/>
            </w:pPr>
            <w:r>
              <w:t xml:space="preserve">Unsubscribe link on internal notifications</w:t>
            </w:r>
          </w:p>
        </w:tc>
        <w:tc>
          <w:tcPr/>
          <w:p>
            <w:pPr>
              <w:pStyle w:val="Compact"/>
            </w:pPr>
            <w:r>
              <w:t xml:space="preserve">Low</w:t>
            </w:r>
          </w:p>
        </w:tc>
        <w:tc>
          <w:tcPr/>
          <w:p>
            <w:pPr>
              <w:pStyle w:val="Compact"/>
            </w:pPr>
            <w:r>
              <w:t xml:space="preserve">OPEN</w:t>
            </w:r>
          </w:p>
        </w:tc>
        <w:tc>
          <w:tcPr/>
          <w:p>
            <w:pPr>
              <w:pStyle w:val="Compact"/>
            </w:pPr>
            <w:r>
              <w:t xml:space="preserve">GHL appends one to workflow internal notifications, including those going to staff. If clicked, the recipient may be marked unsubscribed and reply notifications stop silently, presenting as the problem WF-35 was built to fix. Do not click. Suppression at the location email-footer level unresolved.</w:t>
            </w:r>
          </w:p>
        </w:tc>
      </w:tr>
      <w:tr>
        <w:tc>
          <w:tcPr/>
          <w:p>
            <w:pPr>
              <w:pStyle w:val="Compact"/>
            </w:pPr>
            <w:r>
              <w:rPr>
                <w:rStyle w:val="VerbatimChar"/>
              </w:rPr>
              <w:t xml:space="preserve">{{contact.link}}</w:t>
            </w:r>
            <w:r>
              <w:t xml:space="preserve"> </w:t>
            </w:r>
            <w:r>
              <w:t xml:space="preserve">rejected by the editor</w:t>
            </w:r>
          </w:p>
        </w:tc>
        <w:tc>
          <w:tcPr/>
          <w:p>
            <w:pPr>
              <w:pStyle w:val="Compact"/>
            </w:pPr>
            <w:r>
              <w:t xml:space="preserve">Low</w:t>
            </w:r>
          </w:p>
        </w:tc>
        <w:tc>
          <w:tcPr/>
          <w:p>
            <w:pPr>
              <w:pStyle w:val="Compact"/>
            </w:pPr>
            <w:r>
              <w:t xml:space="preserve">RESOLVED (Aug 4)</w:t>
            </w:r>
          </w:p>
        </w:tc>
        <w:tc>
          <w:tcPr/>
          <w:p>
            <w:pPr>
              <w:pStyle w:val="Compact"/>
            </w:pPr>
            <w:r>
              <w:t xml:space="preserve">The field is valid; WF-02 uses it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validation. Type the line then click away, or use the</w:t>
            </w:r>
            <w:r>
              <w:t xml:space="preserve"> </w:t>
            </w:r>
            <w:r>
              <w:rPr>
                <w:rStyle w:val="VerbatimChar"/>
              </w:rPr>
              <w:t xml:space="preserve">&lt;/&gt;</w:t>
            </w:r>
            <w:r>
              <w:t xml:space="preserve"> </w:t>
            </w:r>
            <w:r>
              <w:t xml:space="preserve">source view.</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DEFERRED (Jul 28)</w:t>
            </w:r>
          </w:p>
        </w:tc>
        <w:tc>
          <w:tcPr/>
          <w:p>
            <w:pPr>
              <w:pStyle w:val="Compact"/>
            </w:pPr>
            <w:r>
              <w:t xml:space="preserve">Referral link intentionally held. No third-party referral app; the next Enyrgy version ships a built-in loyalty/referral program that will supply it.</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24"/>
    <w:bookmarkStart w:id="25" w:name="ghl-field-mapping-quiz---ghl"/>
    <w:p>
      <w:pPr>
        <w:pStyle w:val="Heading3"/>
      </w:pPr>
      <w:r>
        <w:t xml:space="preserve">GHL Field Mapping (Quiz -&gt; GHL)</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2026-08-05T04:39:27Z</dcterms:created>
  <dcterms:modified xsi:type="dcterms:W3CDTF">2026-08-05T04:39:27Z</dcterms:modified>
</cp:coreProperties>
</file>

<file path=docProps/custom.xml><?xml version="1.0" encoding="utf-8"?>
<Properties xmlns="http://schemas.openxmlformats.org/officeDocument/2006/custom-properties" xmlns:vt="http://schemas.openxmlformats.org/officeDocument/2006/docPropsVTypes"/>
</file>