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ENYRGY</w:t>
      </w:r>
    </w:p>
    <w:p>
      <w:pPr>
        <w:pStyle w:val="BodyText"/>
      </w:pPr>
      <w:r>
        <w:rPr>
          <w:i/>
          <w:iCs/>
        </w:rPr>
        <w:t xml:space="preserve">Sunlight. Evolved.</w:t>
      </w:r>
    </w:p>
    <w:p>
      <w:pPr>
        <w:pStyle w:val="BodyText"/>
      </w:pPr>
      <w:r>
        <w:rPr>
          <w:b/>
          <w:bCs/>
        </w:rPr>
        <w:t xml:space="preserve">GoHighLevel CRM Implementation Guide</w:t>
      </w:r>
    </w:p>
    <w:p>
      <w:pPr>
        <w:pStyle w:val="BodyText"/>
      </w:pPr>
      <w:r>
        <w:t xml:space="preserve">AI-Powered Sales, Marketing &amp; Revenue Automation</w:t>
      </w:r>
    </w:p>
    <w:p>
      <w:pPr>
        <w:pStyle w:val="BodyText"/>
      </w:pPr>
      <w:r>
        <w:t xml:space="preserve">Powered by Paperclip Autonomous Agents · Version 3.9.6</w:t>
      </w:r>
    </w:p>
    <w:p>
      <w:pPr>
        <w:pStyle w:val="BodyText"/>
      </w:pPr>
      <w:r>
        <w:rPr>
          <w:b/>
          <w:bCs/>
        </w:rPr>
        <w:t xml:space="preserve">Consumer Unit $2,995 · Commercial Unit $8,950 · 600+ Users · 25,000+ Treatments</w:t>
      </w:r>
    </w:p>
    <w:p>
      <w:pPr>
        <w:pStyle w:val="BodyText"/>
      </w:pPr>
      <w:r>
        <w:t xml:space="preserve">Product Sales · Investor Capital · OEM/White-Label Partners · Vendor Network</w:t>
      </w:r>
    </w:p>
    <w:p>
      <w:pPr>
        <w:pStyle w:val="BodyText"/>
      </w:pPr>
      <w:r>
        <w:t xml:space="preserve">scott@enyrgy.com · 602-321-0322 · enyrgy.com</w:t>
      </w:r>
    </w:p>
    <w:p>
      <w:pPr>
        <w:pStyle w:val="BodyText"/>
      </w:pPr>
      <w:r>
        <w:t xml:space="preserve">Author: Scott Hansbury, Co-founder &amp; CEO, Enyrgy Inc</w:t>
      </w:r>
    </w:p>
    <w:p>
      <w:pPr>
        <w:pStyle w:val="BodyText"/>
      </w:pPr>
      <w:r>
        <w:t xml:space="preserve">Last Updated: August 4, 2026 · Version 3.9.6</w:t>
      </w:r>
    </w:p>
    <w:p>
      <w:pPr>
        <w:pStyle w:val="BodyText"/>
      </w:pPr>
      <w:r>
        <w:rPr>
          <w:b/>
          <w:bCs/>
        </w:rPr>
        <w:t xml:space="preserve">v3.9.6 Changes (Session 16, August 4, 2026):</w:t>
      </w:r>
      <w:r>
        <w:t xml:space="preserve"> </w:t>
      </w:r>
      <w:r>
        <w:rPr>
          <w:rStyle w:val="VerbatimChar"/>
        </w:rPr>
        <w:t xml:space="preserve">no_route</w:t>
      </w:r>
      <w:r>
        <w:t xml:space="preserve"> </w:t>
      </w:r>
      <w:r>
        <w:t xml:space="preserve">and</w:t>
      </w:r>
      <w:r>
        <w:t xml:space="preserve"> </w:t>
      </w:r>
      <w:r>
        <w:rPr>
          <w:rStyle w:val="VerbatimChar"/>
        </w:rPr>
        <w:t xml:space="preserve">source_device_app</w:t>
      </w:r>
      <w:r>
        <w:t xml:space="preserve"> </w:t>
      </w:r>
      <w:r>
        <w:t xml:space="preserve">added to the tag taxonomy (Section 9); the two bypass switches distinguished in Section 11, since</w:t>
      </w:r>
      <w:r>
        <w:t xml:space="preserve"> </w:t>
      </w:r>
      <w:r>
        <w:rPr>
          <w:rStyle w:val="VerbatimChar"/>
        </w:rPr>
        <w:t xml:space="preserve">drip_bypass</w:t>
      </w:r>
      <w:r>
        <w:t xml:space="preserve"> </w:t>
      </w:r>
      <w:r>
        <w:t xml:space="preserve">stops drips while</w:t>
      </w:r>
      <w:r>
        <w:t xml:space="preserve"> </w:t>
      </w:r>
      <w:r>
        <w:rPr>
          <w:rStyle w:val="VerbatimChar"/>
        </w:rPr>
        <w:t xml:space="preserve">no_route</w:t>
      </w:r>
      <w:r>
        <w:t xml:space="preserve"> </w:t>
      </w:r>
      <w:r>
        <w:t xml:space="preserve">stops WF-01 routing and confusing them has already cost time; WF-01’s full guard documented (Section 12); a WF-30 to WF-35 register added.</w:t>
      </w:r>
      <w:r>
        <w:t xml:space="preserve"> </w:t>
      </w:r>
      <w:r>
        <w:t xml:space="preserve">“600+ Customers”</w:t>
      </w:r>
      <w:r>
        <w:t xml:space="preserve"> </w:t>
      </w:r>
      <w:r>
        <w:t xml:space="preserve">corrected to</w:t>
      </w:r>
      <w:r>
        <w:t xml:space="preserve"> </w:t>
      </w:r>
      <w:r>
        <w:t xml:space="preserve">“600+ Users”</w:t>
      </w:r>
      <w:r>
        <w:t xml:space="preserve"> </w:t>
      </w:r>
      <w:r>
        <w:t xml:space="preserve">on the cover and in Section 1, since a home unit supports up to six users and the two are not interchangeable.</w:t>
      </w:r>
      <w:r>
        <w:t xml:space="preserve"> </w:t>
      </w:r>
      <w:r>
        <w:rPr>
          <w:b/>
          <w:bCs/>
        </w:rPr>
        <w:t xml:space="preserve">Live campaign copy is no longer documented in this guide.</w:t>
      </w:r>
      <w:r>
        <w:t xml:space="preserve"> </w:t>
      </w:r>
      <w:r>
        <w:t xml:space="preserve">It lives in</w:t>
      </w:r>
      <w:r>
        <w:t xml:space="preserve"> </w:t>
      </w:r>
      <w:r>
        <w:rPr>
          <w:rStyle w:val="VerbatimChar"/>
        </w:rPr>
        <w:t xml:space="preserve">campaigns/</w:t>
      </w:r>
      <w:r>
        <w:t xml:space="preserve">, one file per workflow, captured from GHL and version-controlled, so nobody maintains two copies. Also corrected the v3.9.5 phantom-completion claim below.</w:t>
      </w:r>
    </w:p>
    <w:p>
      <w:pPr>
        <w:pStyle w:val="BodyText"/>
      </w:pPr>
      <w:r>
        <w:rPr>
          <w:b/>
          <w:bCs/>
        </w:rPr>
        <w:t xml:space="preserve">v3.9.5 Changes (Session 15):</w:t>
      </w:r>
      <w:r>
        <w:t xml:space="preserve"> </w:t>
      </w:r>
      <w:r>
        <w:t xml:space="preserve">Paperclip is now operating, not just built. Heartbeats are staged and tuned (Sentinel 24h, Quality Control daily, Dispatcher 8h, Sales Outreach 1h, SDR 2h, KB Manager 30d; remaining agents staged behind a watch-cost gate; executives + Audit and Compliance + PRD Gatherer + Onboarding stay event-driven with timer OFF). Two operating rules added from the ENY-20 incident: (1)</w:t>
      </w:r>
      <w:r>
        <w:t xml:space="preserve"> </w:t>
      </w:r>
      <w:r>
        <w:rPr>
          <w:b/>
          <w:bCs/>
        </w:rPr>
        <w:t xml:space="preserve">Agents confabulate under credit starvation:</w:t>
      </w:r>
      <w:r>
        <w:t xml:space="preserve"> </w:t>
      </w:r>
      <w:r>
        <w:t xml:space="preserve">when credit-starved or budget-hard-stopped, the org produces confident, specific, FALSE claims (a QC audit and a COO</w:t>
      </w:r>
      <w:r>
        <w:t xml:space="preserve"> </w:t>
      </w:r>
      <w:r>
        <w:t xml:space="preserve">“live verification”</w:t>
      </w:r>
      <w:r>
        <w:t xml:space="preserve"> </w:t>
      </w:r>
      <w:r>
        <w:t xml:space="preserve">both reported a systemic lifecycle failure that did not exist). Verify every agent audit/verification against the live GHL account before acting; escalations are leads, not facts. (2)</w:t>
      </w:r>
      <w:r>
        <w:t xml:space="preserve"> </w:t>
      </w:r>
      <w:r>
        <w:rPr>
          <w:b/>
          <w:bCs/>
        </w:rPr>
        <w:t xml:space="preserve">Keep Anthropic credit buffered and Paperclip budgets with headroom:</w:t>
      </w:r>
      <w:r>
        <w:t xml:space="preserve"> </w:t>
      </w:r>
      <w:r>
        <w:t xml:space="preserve">starvation multiplies cost (dying runs re-wake and replay a growing thread) and is the trigger for confabulation.</w:t>
      </w:r>
      <w:r>
        <w:t xml:space="preserve"> </w:t>
      </w:r>
      <w:r>
        <w:rPr>
          <w:strike/>
        </w:rPr>
        <w:t xml:space="preserve">Open platform bug: a run that dies on a credit/budget error must go to</w:t>
      </w:r>
      <w:r>
        <w:rPr>
          <w:strike/>
        </w:rPr>
        <w:t xml:space="preserve"> </w:t>
      </w:r>
      <w:r>
        <w:rPr>
          <w:rStyle w:val="VerbatimChar"/>
          <w:strike/>
        </w:rPr>
        <w:t xml:space="preserve">blocked</w:t>
      </w:r>
      <w:r>
        <w:rPr>
          <w:strike/>
        </w:rPr>
        <w:t xml:space="preserve">, never</w:t>
      </w:r>
      <w:r>
        <w:rPr>
          <w:strike/>
        </w:rPr>
        <w:t xml:space="preserve"> </w:t>
      </w:r>
      <w:r>
        <w:rPr>
          <w:rStyle w:val="VerbatimChar"/>
          <w:strike/>
        </w:rPr>
        <w:t xml:space="preserve">done</w:t>
      </w:r>
      <w:r>
        <w:rPr>
          <w:strike/>
        </w:rPr>
        <w:t xml:space="preserve">.</w:t>
      </w:r>
      <w:r>
        <w:t xml:space="preserve"> </w:t>
      </w:r>
      <w:r>
        <w:rPr>
          <w:b/>
          <w:bCs/>
        </w:rPr>
        <w:t xml:space="preserve">RETRACTED in v3.9.6.</w:t>
      </w:r>
      <w:r>
        <w:t xml:space="preserve"> </w:t>
      </w:r>
      <w:r>
        <w:t xml:space="preserve">The recovery code was read directly: credit and budget failures route to</w:t>
      </w:r>
      <w:r>
        <w:t xml:space="preserve"> </w:t>
      </w:r>
      <w:r>
        <w:rPr>
          <w:rStyle w:val="VerbatimChar"/>
        </w:rPr>
        <w:t xml:space="preserve">blocked</w:t>
      </w:r>
      <w:r>
        <w:t xml:space="preserve"> </w:t>
      </w:r>
      <w:r>
        <w:t xml:space="preserve">and never to</w:t>
      </w:r>
      <w:r>
        <w:t xml:space="preserve"> </w:t>
      </w:r>
      <w:r>
        <w:rPr>
          <w:rStyle w:val="VerbatimChar"/>
        </w:rPr>
        <w:t xml:space="preserve">done</w:t>
      </w:r>
      <w:r>
        <w:t xml:space="preserve">, and the only path to</w:t>
      </w:r>
      <w:r>
        <w:t xml:space="preserve"> </w:t>
      </w:r>
      <w:r>
        <w:rPr>
          <w:rStyle w:val="VerbatimChar"/>
        </w:rPr>
        <w:t xml:space="preserve">done</w:t>
      </w:r>
      <w:r>
        <w:t xml:space="preserve"> </w:t>
      </w:r>
      <w:r>
        <w:t xml:space="preserve">is a legitimate watchdog fold requiring a succeeded run. The</w:t>
      </w:r>
      <w:r>
        <w:t xml:space="preserve"> </w:t>
      </w:r>
      <w:r>
        <w:t xml:space="preserve">“ENY-24 flipped to done”</w:t>
      </w:r>
      <w:r>
        <w:t xml:space="preserve"> </w:t>
      </w:r>
      <w:r>
        <w:t xml:space="preserve">report was itself a COO confabulation, which is to say an instance of rule (1) above rather than evidence for a separate defect. No platform fix is needed or pending. Consolidated open items now live in</w:t>
      </w:r>
      <w:r>
        <w:t xml:space="preserve"> </w:t>
      </w:r>
      <w:r>
        <w:rPr>
          <w:rStyle w:val="VerbatimChar"/>
        </w:rPr>
        <w:t xml:space="preserve">Enyrgy_Master_TODO.md</w:t>
      </w:r>
      <w:r>
        <w:t xml:space="preserve">.</w:t>
      </w:r>
    </w:p>
    <w:p>
      <w:pPr>
        <w:pStyle w:val="BodyText"/>
      </w:pPr>
      <w:r>
        <w:rPr>
          <w:b/>
          <w:bCs/>
        </w:rPr>
        <w:t xml:space="preserve">v3.9.4 Changes (Session 14):</w:t>
      </w:r>
      <w:r>
        <w:t xml:space="preserve"> </w:t>
      </w:r>
      <w:r>
        <w:t xml:space="preserve">Applied the Session 13 accreditation carve-out that was missing here: the subscription agreement and term sheet are PRE-ACCEPTANCE and may be shared before accreditation is confirmed. Accreditation gates ONLY wire instructions and accepting funds. Corrected in Stage 5, the Compliance Gate rules, and the pipeline summary (three locations had wrongly gated the subscription agreement and term sheet behind accreditation). Aligns the Guide with KB Sections 12 and 13.</w:t>
      </w:r>
    </w:p>
    <w:p>
      <w:pPr>
        <w:pStyle w:val="BodyText"/>
      </w:pPr>
      <w:r>
        <w:rPr>
          <w:b/>
          <w:bCs/>
        </w:rPr>
        <w:t xml:space="preserve">v3.9.3 Changes (additive):</w:t>
      </w:r>
      <w:r>
        <w:t xml:space="preserve"> </w:t>
      </w:r>
      <w:r>
        <w:t xml:space="preserve">Added WF-28 Shopify Order Fulfilled and WF-29 Abandoned Checkout Recovery (fed by a Railway service via Shopify client-credentials), completing the Shopify automation set. v3.9.2 added WF-27, closed the drip bypass-gate gap, removed the Investor Touch 7 accreditation gate, and recorded the Shopify native integration. v3.9.1 added WF-21 to WF-26, the custom fields, and the 617-contact base.</w:t>
      </w:r>
    </w:p>
    <w:p>
      <w:pPr>
        <w:pStyle w:val="BodyText"/>
      </w:pPr>
      <w:r>
        <w:rPr>
          <w:b/>
          <w:bCs/>
        </w:rPr>
        <w:t xml:space="preserve">v3.9 Changes:</w:t>
      </w:r>
      <w:r>
        <w:t xml:space="preserve"> </w:t>
      </w:r>
      <w:r>
        <w:t xml:space="preserve">Investor funnel accreditation sequencing corrected per securities attorney guidance (PPM sent after intro meeting; accreditation required before accepting investment, not before PPM); SHAKEN/STIR confirmed Approved &amp; Verified; KB Manager updated with attorney guidance.</w:t>
      </w:r>
    </w:p>
    <w:p>
      <w:pPr>
        <w:pStyle w:val="BodyText"/>
      </w:pPr>
      <w:r>
        <w:t xml:space="preserve">Facility: 5115 N 27th Ave, Bld 66, Phoenix, AZ 85017</w:t>
      </w:r>
    </w:p>
    <w:p>
      <w:pPr>
        <w:pStyle w:val="BodyText"/>
      </w:pPr>
      <w:r>
        <w:rPr>
          <w:b/>
          <w:bCs/>
        </w:rPr>
        <w:t xml:space="preserve">CONFIDENTIAL</w:t>
      </w:r>
    </w:p>
    <w:p>
      <w:pPr>
        <w:pStyle w:val="BodyText"/>
      </w:pPr>
      <w:r>
        <w:rPr>
          <w:b/>
          <w:bCs/>
        </w:rPr>
        <w:t xml:space="preserve">Table of Contents</w:t>
      </w:r>
    </w:p>
    <w:p>
      <w:pPr>
        <w:pStyle w:val="BodyText"/>
      </w:pPr>
      <w:r>
        <w:rPr>
          <w:b/>
          <w:bCs/>
        </w:rPr>
        <w:t xml:space="preserve">Table of Contents</w:t>
      </w:r>
      <w:r>
        <w:t xml:space="preserve"> </w:t>
      </w:r>
      <w:r>
        <w:t xml:space="preserve">2</w:t>
      </w:r>
    </w:p>
    <w:p>
      <w:pPr>
        <w:pStyle w:val="BodyText"/>
      </w:pPr>
      <w:r>
        <w:rPr>
          <w:b/>
          <w:bCs/>
        </w:rPr>
        <w:t xml:space="preserve">SECTION 1: ENYRGY COMPANY CONTEXT &amp; UPDATED FACTS</w:t>
      </w:r>
      <w:r>
        <w:t xml:space="preserve"> </w:t>
      </w:r>
      <w:r>
        <w:t xml:space="preserve">5</w:t>
      </w:r>
    </w:p>
    <w:p>
      <w:pPr>
        <w:pStyle w:val="BodyText"/>
      </w:pPr>
      <w:r>
        <w:t xml:space="preserve">Enyrgy at a Glance 5</w:t>
      </w:r>
    </w:p>
    <w:p>
      <w:pPr>
        <w:pStyle w:val="BodyText"/>
      </w:pPr>
      <w:r>
        <w:t xml:space="preserve">Updated Company Metrics 5</w:t>
      </w:r>
    </w:p>
    <w:p>
      <w:pPr>
        <w:pStyle w:val="BodyText"/>
      </w:pPr>
      <w:r>
        <w:t xml:space="preserve">The Primal Light Platform, Triple Pathway 5</w:t>
      </w:r>
    </w:p>
    <w:p>
      <w:pPr>
        <w:pStyle w:val="BodyText"/>
      </w:pPr>
      <w:r>
        <w:t xml:space="preserve">Revenue Streams &amp; Pricing 6</w:t>
      </w:r>
    </w:p>
    <w:p>
      <w:pPr>
        <w:pStyle w:val="BodyText"/>
      </w:pPr>
      <w:r>
        <w:rPr>
          <w:b/>
          <w:bCs/>
        </w:rPr>
        <w:t xml:space="preserve">SECTION 2: AUTOMATION ARCHITECTURE: PAPERCLIP AGENT SYSTEM + HITL</w:t>
      </w:r>
      <w:r>
        <w:t xml:space="preserve"> </w:t>
      </w:r>
      <w:r>
        <w:t xml:space="preserve">7</w:t>
      </w:r>
    </w:p>
    <w:p>
      <w:pPr>
        <w:pStyle w:val="BodyText"/>
      </w:pPr>
      <w:r>
        <w:t xml:space="preserve">The Core Philosophy 7</w:t>
      </w:r>
    </w:p>
    <w:p>
      <w:pPr>
        <w:pStyle w:val="BodyText"/>
      </w:pPr>
      <w:r>
        <w:t xml:space="preserve">Consumer and Commercial Funnels 7</w:t>
      </w:r>
    </w:p>
    <w:p>
      <w:pPr>
        <w:pStyle w:val="BodyText"/>
      </w:pPr>
      <w:r>
        <w:t xml:space="preserve">Stage 1: Lead Capture to First Contact 7</w:t>
      </w:r>
    </w:p>
    <w:p>
      <w:pPr>
        <w:pStyle w:val="BodyText"/>
      </w:pPr>
      <w:r>
        <w:t xml:space="preserve">Stage 2: Drip Nurture 7</w:t>
      </w:r>
    </w:p>
    <w:p>
      <w:pPr>
        <w:pStyle w:val="BodyText"/>
      </w:pPr>
      <w:r>
        <w:t xml:space="preserve">Stage 3: Qualification and Discovery Call Booking 8</w:t>
      </w:r>
    </w:p>
    <w:p>
      <w:pPr>
        <w:pStyle w:val="BodyText"/>
      </w:pPr>
      <w:r>
        <w:t xml:space="preserve">Stage 4: Discovery Call 8</w:t>
      </w:r>
    </w:p>
    <w:p>
      <w:pPr>
        <w:pStyle w:val="BodyText"/>
      </w:pPr>
      <w:r>
        <w:t xml:space="preserve">Stage 5: Post-Demo Follow-Up to Order 8</w:t>
      </w:r>
    </w:p>
    <w:p>
      <w:pPr>
        <w:pStyle w:val="BodyText"/>
      </w:pPr>
      <w:r>
        <w:t xml:space="preserve">Investor Funnel 9</w:t>
      </w:r>
    </w:p>
    <w:p>
      <w:pPr>
        <w:pStyle w:val="BodyText"/>
      </w:pPr>
      <w:r>
        <w:t xml:space="preserve">Stage 1: Identification and Initial Outreach 9</w:t>
      </w:r>
    </w:p>
    <w:p>
      <w:pPr>
        <w:pStyle w:val="BodyText"/>
      </w:pPr>
      <w:r>
        <w:t xml:space="preserve">Stage 2: Cold Drip 9</w:t>
      </w:r>
    </w:p>
    <w:p>
      <w:pPr>
        <w:pStyle w:val="BodyText"/>
      </w:pPr>
      <w:r>
        <w:t xml:space="preserve">Stage 3: Intro Meeting 9</w:t>
      </w:r>
    </w:p>
    <w:p>
      <w:pPr>
        <w:pStyle w:val="BodyText"/>
      </w:pPr>
      <w:r>
        <w:t xml:space="preserve">Stage 4: Accreditation 10</w:t>
      </w:r>
    </w:p>
    <w:p>
      <w:pPr>
        <w:pStyle w:val="BodyText"/>
      </w:pPr>
      <w:r>
        <w:t xml:space="preserve">Stage 5: Due Diligence 10</w:t>
      </w:r>
    </w:p>
    <w:p>
      <w:pPr>
        <w:pStyle w:val="BodyText"/>
      </w:pPr>
      <w:r>
        <w:t xml:space="preserve">Stage 6: Commitment and Close 10</w:t>
      </w:r>
    </w:p>
    <w:p>
      <w:pPr>
        <w:pStyle w:val="BodyText"/>
      </w:pPr>
      <w:r>
        <w:t xml:space="preserve">The HITL Framework 11</w:t>
      </w:r>
    </w:p>
    <w:p>
      <w:pPr>
        <w:pStyle w:val="BodyText"/>
      </w:pPr>
      <w:r>
        <w:t xml:space="preserve">Practical Daily Operating Rhythm 12</w:t>
      </w:r>
    </w:p>
    <w:p>
      <w:pPr>
        <w:pStyle w:val="BodyText"/>
      </w:pPr>
      <w:r>
        <w:rPr>
          <w:b/>
          <w:bCs/>
        </w:rPr>
        <w:t xml:space="preserve">SECTION 3: PAPERCLIP AI AGENT ORG CHART</w:t>
      </w:r>
      <w:r>
        <w:t xml:space="preserve"> </w:t>
      </w:r>
      <w:r>
        <w:t xml:space="preserve">13</w:t>
      </w:r>
    </w:p>
    <w:p>
      <w:pPr>
        <w:pStyle w:val="BodyText"/>
      </w:pPr>
      <w:r>
        <w:t xml:space="preserve">C-Suite Layer, 3 Agents 13</w:t>
      </w:r>
    </w:p>
    <w:p>
      <w:pPr>
        <w:pStyle w:val="BodyText"/>
      </w:pPr>
      <w:r>
        <w:t xml:space="preserve">COO Division, 7 Agents 13</w:t>
      </w:r>
    </w:p>
    <w:p>
      <w:pPr>
        <w:pStyle w:val="BodyText"/>
      </w:pPr>
      <w:r>
        <w:t xml:space="preserve">CRO Division, 6 Agents 14</w:t>
      </w:r>
    </w:p>
    <w:p>
      <w:pPr>
        <w:pStyle w:val="BodyText"/>
      </w:pPr>
      <w:r>
        <w:t xml:space="preserve">Agent-to-Workflow Mapping 14</w:t>
      </w:r>
    </w:p>
    <w:p>
      <w:pPr>
        <w:pStyle w:val="BodyText"/>
      </w:pPr>
      <w:r>
        <w:t xml:space="preserve">Compliance Gate, Non-Negotiable Rules 15</w:t>
      </w:r>
    </w:p>
    <w:p>
      <w:pPr>
        <w:pStyle w:val="BodyText"/>
      </w:pPr>
      <w:r>
        <w:t xml:space="preserve">Phase 2, Recommended Agent Additions 15</w:t>
      </w:r>
    </w:p>
    <w:p>
      <w:pPr>
        <w:pStyle w:val="BodyText"/>
      </w:pPr>
      <w:r>
        <w:t xml:space="preserve">KB Manager, Required Knowledge Base Contents 16</w:t>
      </w:r>
    </w:p>
    <w:p>
      <w:pPr>
        <w:pStyle w:val="BodyText"/>
      </w:pPr>
      <w:r>
        <w:rPr>
          <w:b/>
          <w:bCs/>
        </w:rPr>
        <w:t xml:space="preserve">SECTION 4: FIVE FUNNEL TYPES IN GHL</w:t>
      </w:r>
      <w:r>
        <w:t xml:space="preserve"> </w:t>
      </w:r>
      <w:r>
        <w:t xml:space="preserve">17</w:t>
      </w:r>
    </w:p>
    <w:p>
      <w:pPr>
        <w:pStyle w:val="BodyText"/>
      </w:pPr>
      <w:r>
        <w:rPr>
          <w:b/>
          <w:bCs/>
        </w:rPr>
        <w:t xml:space="preserve">SECTION 5: GHL ACCOUNT STRUCTURE</w:t>
      </w:r>
      <w:r>
        <w:t xml:space="preserve"> </w:t>
      </w:r>
      <w:r>
        <w:t xml:space="preserve">18</w:t>
      </w:r>
    </w:p>
    <w:p>
      <w:pPr>
        <w:pStyle w:val="BodyText"/>
      </w:pPr>
      <w:r>
        <w:t xml:space="preserve">Key URLs 18</w:t>
      </w:r>
    </w:p>
    <w:p>
      <w:pPr>
        <w:pStyle w:val="BodyText"/>
      </w:pPr>
      <w:r>
        <w:t xml:space="preserve">Phone System 18</w:t>
      </w:r>
    </w:p>
    <w:p>
      <w:pPr>
        <w:pStyle w:val="BodyText"/>
      </w:pPr>
      <w:r>
        <w:rPr>
          <w:b/>
          <w:bCs/>
        </w:rPr>
        <w:t xml:space="preserve">SECTION 6: CALENDAR REFERENCE</w:t>
      </w:r>
      <w:r>
        <w:t xml:space="preserve"> </w:t>
      </w:r>
      <w:r>
        <w:t xml:space="preserve">19</w:t>
      </w:r>
    </w:p>
    <w:p>
      <w:pPr>
        <w:pStyle w:val="BodyText"/>
      </w:pPr>
      <w:r>
        <w:rPr>
          <w:b/>
          <w:bCs/>
        </w:rPr>
        <w:t xml:space="preserve">SECTION 7: TEAM REFERENCE</w:t>
      </w:r>
      <w:r>
        <w:t xml:space="preserve"> </w:t>
      </w:r>
      <w:r>
        <w:t xml:space="preserve">20</w:t>
      </w:r>
    </w:p>
    <w:p>
      <w:pPr>
        <w:pStyle w:val="BodyText"/>
      </w:pPr>
      <w:r>
        <w:t xml:space="preserve">Funnel Ownership 20</w:t>
      </w:r>
    </w:p>
    <w:p>
      <w:pPr>
        <w:pStyle w:val="BodyText"/>
      </w:pPr>
      <w:r>
        <w:rPr>
          <w:b/>
          <w:bCs/>
        </w:rPr>
        <w:t xml:space="preserve">SECTION 8: GHL CONTACT FIELDS</w:t>
      </w:r>
      <w:r>
        <w:t xml:space="preserve"> </w:t>
      </w:r>
      <w:r>
        <w:t xml:space="preserve">21</w:t>
      </w:r>
    </w:p>
    <w:p>
      <w:pPr>
        <w:pStyle w:val="BodyText"/>
      </w:pPr>
      <w:r>
        <w:t xml:space="preserve">Folder Structure 21</w:t>
      </w:r>
    </w:p>
    <w:p>
      <w:pPr>
        <w:pStyle w:val="BodyText"/>
      </w:pPr>
      <w:r>
        <w:t xml:space="preserve">Universal Fields 21</w:t>
      </w:r>
    </w:p>
    <w:p>
      <w:pPr>
        <w:pStyle w:val="BodyText"/>
      </w:pPr>
      <w:r>
        <w:t xml:space="preserve">Consumer Fields 21</w:t>
      </w:r>
    </w:p>
    <w:p>
      <w:pPr>
        <w:pStyle w:val="BodyText"/>
      </w:pPr>
      <w:r>
        <w:t xml:space="preserve">Commercial Fields 22</w:t>
      </w:r>
    </w:p>
    <w:p>
      <w:pPr>
        <w:pStyle w:val="BodyText"/>
      </w:pPr>
      <w:r>
        <w:t xml:space="preserve">Investor Fields 22</w:t>
      </w:r>
    </w:p>
    <w:p>
      <w:pPr>
        <w:pStyle w:val="BodyText"/>
      </w:pPr>
      <w:r>
        <w:t xml:space="preserve">Partner Fields 23</w:t>
      </w:r>
    </w:p>
    <w:p>
      <w:pPr>
        <w:pStyle w:val="BodyText"/>
      </w:pPr>
      <w:r>
        <w:t xml:space="preserve">Vendor Fields 23</w:t>
      </w:r>
    </w:p>
    <w:p>
      <w:pPr>
        <w:pStyle w:val="BodyText"/>
      </w:pPr>
      <w:r>
        <w:rPr>
          <w:b/>
          <w:bCs/>
        </w:rPr>
        <w:t xml:space="preserve">SECTION 9: TAG TAXONOMY</w:t>
      </w:r>
      <w:r>
        <w:t xml:space="preserve"> </w:t>
      </w:r>
      <w:r>
        <w:t xml:space="preserve">24</w:t>
      </w:r>
    </w:p>
    <w:p>
      <w:pPr>
        <w:pStyle w:val="BodyText"/>
      </w:pPr>
      <w:r>
        <w:rPr>
          <w:b/>
          <w:bCs/>
        </w:rPr>
        <w:t xml:space="preserve">SECTION 10: PIPELINES</w:t>
      </w:r>
      <w:r>
        <w:t xml:space="preserve"> </w:t>
      </w:r>
      <w:r>
        <w:t xml:space="preserve">25</w:t>
      </w:r>
    </w:p>
    <w:p>
      <w:pPr>
        <w:pStyle w:val="BodyText"/>
      </w:pPr>
      <w:r>
        <w:rPr>
          <w:b/>
          <w:bCs/>
        </w:rPr>
        <w:t xml:space="preserve">SECTION 11: DRIP CAMPAIGNS</w:t>
      </w:r>
      <w:r>
        <w:t xml:space="preserve"> </w:t>
      </w:r>
      <w:r>
        <w:t xml:space="preserve">26</w:t>
      </w:r>
    </w:p>
    <w:p>
      <w:pPr>
        <w:pStyle w:val="BodyText"/>
      </w:pPr>
      <w:r>
        <w:t xml:space="preserve">Campaign Overview 26</w:t>
      </w:r>
    </w:p>
    <w:p>
      <w:pPr>
        <w:pStyle w:val="BodyText"/>
      </w:pPr>
      <w:r>
        <w:t xml:space="preserve">Bypass Logic 26</w:t>
      </w:r>
    </w:p>
    <w:p>
      <w:pPr>
        <w:pStyle w:val="BodyText"/>
      </w:pPr>
      <w:r>
        <w:t xml:space="preserve">Consumer Drip Gating (NEW) 26</w:t>
      </w:r>
    </w:p>
    <w:p>
      <w:pPr>
        <w:pStyle w:val="BodyText"/>
      </w:pPr>
      <w:r>
        <w:t xml:space="preserve">Consumer Drip, 12 Touch Sequence 26</w:t>
      </w:r>
    </w:p>
    <w:p>
      <w:pPr>
        <w:pStyle w:val="BodyText"/>
      </w:pPr>
      <w:r>
        <w:t xml:space="preserve">Investor Drip, 8 Touch Sequence 27</w:t>
      </w:r>
    </w:p>
    <w:p>
      <w:pPr>
        <w:pStyle w:val="BodyText"/>
      </w:pPr>
      <w:r>
        <w:rPr>
          <w:b/>
          <w:bCs/>
        </w:rPr>
        <w:t xml:space="preserve">SECTION 12: CORE WORKFLOWS</w:t>
      </w:r>
      <w:r>
        <w:t xml:space="preserve"> </w:t>
      </w:r>
      <w:r>
        <w:t xml:space="preserve">28</w:t>
      </w:r>
    </w:p>
    <w:p>
      <w:pPr>
        <w:pStyle w:val="BodyText"/>
      </w:pPr>
      <w:r>
        <w:t xml:space="preserve">WF-01 through WF-10 28</w:t>
      </w:r>
    </w:p>
    <w:p>
      <w:pPr>
        <w:pStyle w:val="BodyText"/>
      </w:pPr>
      <w:r>
        <w:t xml:space="preserve">WF-11 through WF-18 (NEW) 28</w:t>
      </w:r>
    </w:p>
    <w:p>
      <w:pPr>
        <w:pStyle w:val="BodyText"/>
      </w:pPr>
      <w:r>
        <w:t xml:space="preserve">Lead Scoring Model 28</w:t>
      </w:r>
    </w:p>
    <w:p>
      <w:pPr>
        <w:pStyle w:val="BodyText"/>
      </w:pPr>
      <w:r>
        <w:rPr>
          <w:b/>
          <w:bCs/>
        </w:rPr>
        <w:t xml:space="preserve">SECTION 13: EMAIL SERVICES (REBUILT)</w:t>
      </w:r>
      <w:r>
        <w:t xml:space="preserve"> </w:t>
      </w:r>
      <w:r>
        <w:t xml:space="preserve">29</w:t>
      </w:r>
    </w:p>
    <w:p>
      <w:pPr>
        <w:pStyle w:val="BodyText"/>
      </w:pPr>
      <w:r>
        <w:rPr>
          <w:b/>
          <w:bCs/>
        </w:rPr>
        <w:t xml:space="preserve">SECTION 14: CONTENT RULES (UPDATED)</w:t>
      </w:r>
      <w:r>
        <w:t xml:space="preserve"> </w:t>
      </w:r>
      <w:r>
        <w:t xml:space="preserve">30</w:t>
      </w:r>
    </w:p>
    <w:p>
      <w:pPr>
        <w:pStyle w:val="BodyText"/>
      </w:pPr>
      <w:r>
        <w:t xml:space="preserve">Content Framework (Corrected) 30</w:t>
      </w:r>
    </w:p>
    <w:p>
      <w:pPr>
        <w:pStyle w:val="BodyText"/>
      </w:pPr>
      <w:r>
        <w:t xml:space="preserve">Writing Rules 30</w:t>
      </w:r>
    </w:p>
    <w:p>
      <w:pPr>
        <w:pStyle w:val="BodyText"/>
      </w:pPr>
      <w:r>
        <w:t xml:space="preserve">Brand Standards (NEW) 30</w:t>
      </w:r>
    </w:p>
    <w:p>
      <w:pPr>
        <w:pStyle w:val="BodyText"/>
      </w:pPr>
      <w:r>
        <w:t xml:space="preserve">Nitric Oxide Framing (NEW) 30</w:t>
      </w:r>
    </w:p>
    <w:p>
      <w:pPr>
        <w:pStyle w:val="BodyText"/>
      </w:pPr>
      <w:r>
        <w:t xml:space="preserve">Prohibited Words 30</w:t>
      </w:r>
    </w:p>
    <w:p>
      <w:pPr>
        <w:pStyle w:val="BodyText"/>
      </w:pPr>
      <w:r>
        <w:rPr>
          <w:b/>
          <w:bCs/>
        </w:rPr>
        <w:t xml:space="preserve">SECTION 15: APPROVED TALKING POINTS</w:t>
      </w:r>
      <w:r>
        <w:t xml:space="preserve"> </w:t>
      </w:r>
      <w:r>
        <w:t xml:space="preserve">31</w:t>
      </w:r>
    </w:p>
    <w:p>
      <w:pPr>
        <w:pStyle w:val="BodyText"/>
      </w:pPr>
      <w:r>
        <w:rPr>
          <w:b/>
          <w:bCs/>
        </w:rPr>
        <w:t xml:space="preserve">SECTION 16: COMMERCIAL ROI MODEL</w:t>
      </w:r>
      <w:r>
        <w:t xml:space="preserve"> </w:t>
      </w:r>
      <w:r>
        <w:t xml:space="preserve">32</w:t>
      </w:r>
    </w:p>
    <w:p>
      <w:pPr>
        <w:pStyle w:val="BodyText"/>
      </w:pPr>
      <w:r>
        <w:t xml:space="preserve">Model A, Pay Per Modality 32</w:t>
      </w:r>
    </w:p>
    <w:p>
      <w:pPr>
        <w:pStyle w:val="BodyText"/>
      </w:pPr>
      <w:r>
        <w:t xml:space="preserve">Model B, Membership Tier Upgrade 32</w:t>
      </w:r>
    </w:p>
    <w:p>
      <w:pPr>
        <w:pStyle w:val="BodyText"/>
      </w:pPr>
      <w:r>
        <w:rPr>
          <w:b/>
          <w:bCs/>
        </w:rPr>
        <w:t xml:space="preserve">SECTION 17: INVESTOR OFFERING DETAILS</w:t>
      </w:r>
      <w:r>
        <w:t xml:space="preserve"> </w:t>
      </w:r>
      <w:r>
        <w:t xml:space="preserve">33</w:t>
      </w:r>
    </w:p>
    <w:p>
      <w:pPr>
        <w:pStyle w:val="BodyText"/>
      </w:pPr>
      <w:r>
        <w:rPr>
          <w:b/>
          <w:bCs/>
        </w:rPr>
        <w:t xml:space="preserve">SECTION 18: KEY REFERENCE DATA</w:t>
      </w:r>
      <w:r>
        <w:t xml:space="preserve"> </w:t>
      </w:r>
      <w:r>
        <w:t xml:space="preserve">34</w:t>
      </w:r>
    </w:p>
    <w:p>
      <w:pPr>
        <w:pStyle w:val="BodyText"/>
      </w:pPr>
      <w:r>
        <w:rPr>
          <w:b/>
          <w:bCs/>
        </w:rPr>
        <w:t xml:space="preserve">SECTION 19: OEM / WHITE-LABEL PARTNER PROGRAM</w:t>
      </w:r>
      <w:r>
        <w:t xml:space="preserve"> </w:t>
      </w:r>
      <w:r>
        <w:t xml:space="preserve">35</w:t>
      </w:r>
    </w:p>
    <w:p>
      <w:pPr>
        <w:pStyle w:val="BodyText"/>
      </w:pPr>
      <w:r>
        <w:t xml:space="preserve">Current Partner, Lumanova / Luma D Light 35</w:t>
      </w:r>
    </w:p>
    <w:p>
      <w:pPr>
        <w:pStyle w:val="BodyText"/>
      </w:pPr>
      <w:r>
        <w:t xml:space="preserve">Ideal Next OEM / Distribution Partner Profile 35</w:t>
      </w:r>
    </w:p>
    <w:p>
      <w:pPr>
        <w:pStyle w:val="BodyText"/>
      </w:pPr>
      <w:r>
        <w:rPr>
          <w:b/>
          <w:bCs/>
        </w:rPr>
        <w:t xml:space="preserve">SECTION 20: TOP-OF-FUNNEL LEAD GENERATION STRATEGY</w:t>
      </w:r>
      <w:r>
        <w:t xml:space="preserve"> </w:t>
      </w:r>
      <w:r>
        <w:t xml:space="preserve">36</w:t>
      </w:r>
    </w:p>
    <w:p>
      <w:pPr>
        <w:pStyle w:val="BodyText"/>
      </w:pPr>
      <w:r>
        <w:t xml:space="preserve">Consumer Lead Magnets, ICP-Dartboard (NEW) 36</w:t>
      </w:r>
    </w:p>
    <w:p>
      <w:pPr>
        <w:pStyle w:val="BodyText"/>
      </w:pPr>
      <w:r>
        <w:t xml:space="preserve">Consumer Channels 36</w:t>
      </w:r>
    </w:p>
    <w:p>
      <w:pPr>
        <w:pStyle w:val="BodyText"/>
      </w:pPr>
      <w:r>
        <w:t xml:space="preserve">Commercial, Investor, Partner/Vendor Channels 37</w:t>
      </w:r>
    </w:p>
    <w:p>
      <w:pPr>
        <w:pStyle w:val="BodyText"/>
      </w:pPr>
      <w:r>
        <w:rPr>
          <w:b/>
          <w:bCs/>
        </w:rPr>
        <w:t xml:space="preserve">SECTION 21: IMPLEMENTATION PHASES AND ROADMAP</w:t>
      </w:r>
      <w:r>
        <w:t xml:space="preserve"> </w:t>
      </w:r>
      <w:r>
        <w:t xml:space="preserve">39</w:t>
      </w:r>
    </w:p>
    <w:p>
      <w:pPr>
        <w:pStyle w:val="BodyText"/>
      </w:pPr>
      <w:r>
        <w:rPr>
          <w:b/>
          <w:bCs/>
        </w:rPr>
        <w:t xml:space="preserve">SECTION 22: CLIENT TYPE PLAYBOOKS</w:t>
      </w:r>
      <w:r>
        <w:t xml:space="preserve"> </w:t>
      </w:r>
      <w:r>
        <w:t xml:space="preserve">41</w:t>
      </w:r>
    </w:p>
    <w:p>
      <w:pPr>
        <w:pStyle w:val="BodyText"/>
      </w:pPr>
      <w:r>
        <w:t xml:space="preserve">Consumer Playbook 41</w:t>
      </w:r>
    </w:p>
    <w:p>
      <w:pPr>
        <w:pStyle w:val="BodyText"/>
      </w:pPr>
      <w:r>
        <w:t xml:space="preserve">Commercial Playbook 42</w:t>
      </w:r>
    </w:p>
    <w:p>
      <w:pPr>
        <w:pStyle w:val="BodyText"/>
      </w:pPr>
      <w:r>
        <w:t xml:space="preserve">Investor Playbook 42</w:t>
      </w:r>
    </w:p>
    <w:p>
      <w:pPr>
        <w:pStyle w:val="BodyText"/>
      </w:pPr>
      <w:r>
        <w:rPr>
          <w:b/>
          <w:bCs/>
        </w:rPr>
        <w:t xml:space="preserve">SECTION 23: CONTACT</w:t>
      </w:r>
      <w:r>
        <w:t xml:space="preserve"> </w:t>
      </w:r>
      <w:r>
        <w:t xml:space="preserve">44</w:t>
      </w:r>
    </w:p>
    <w:p>
      <w:pPr>
        <w:pStyle w:val="BodyText"/>
      </w:pPr>
      <w:r>
        <w:rPr>
          <w:b/>
          <w:bCs/>
        </w:rPr>
        <w:t xml:space="preserve">SECTION 24: CONSUMER FUNNEL: ICP-DARTBOARD SYSTEM (NEW in v3.7)</w:t>
      </w:r>
      <w:r>
        <w:t xml:space="preserve"> </w:t>
      </w:r>
      <w:r>
        <w:t xml:space="preserve">45</w:t>
      </w:r>
    </w:p>
    <w:p>
      <w:pPr>
        <w:pStyle w:val="BodyText"/>
      </w:pPr>
      <w:r>
        <w:t xml:space="preserve">The Model 45</w:t>
      </w:r>
    </w:p>
    <w:p>
      <w:pPr>
        <w:pStyle w:val="BodyText"/>
      </w:pPr>
      <w:r>
        <w:t xml:space="preserve">End-to-End Routing 45</w:t>
      </w:r>
    </w:p>
    <w:p>
      <w:pPr>
        <w:pStyle w:val="BodyText"/>
      </w:pPr>
      <w:r>
        <w:t xml:space="preserve">The Suppression System (drip_bypass) 45</w:t>
      </w:r>
    </w:p>
    <w:p>
      <w:pPr>
        <w:pStyle w:val="BodyText"/>
      </w:pPr>
      <w:r>
        <w:t xml:space="preserve">The Magnets 46</w:t>
      </w:r>
    </w:p>
    <w:p>
      <w:pPr>
        <w:pStyle w:val="BodyText"/>
      </w:pPr>
      <w:r>
        <w:t xml:space="preserve">Email Series 46</w:t>
      </w:r>
    </w:p>
    <w:p>
      <w:pPr>
        <w:pStyle w:val="BodyText"/>
      </w:pPr>
      <w:r>
        <w:t xml:space="preserve">Landing-Page Deploy Recipe 46</w:t>
      </w:r>
    </w:p>
    <w:bookmarkStart w:id="13" w:name="X903a202284d525ce488a2bb7897e84a177c088d"/>
    <w:p>
      <w:pPr>
        <w:pStyle w:val="Heading1"/>
      </w:pPr>
      <w:r>
        <w:t xml:space="preserve">SECTION 1: ENYRGY COMPANY CONTEXT &amp; UPDATED FACTS</w:t>
      </w:r>
    </w:p>
    <w:bookmarkStart w:id="9" w:name="enyrgy-at-a-glance"/>
    <w:p>
      <w:pPr>
        <w:pStyle w:val="Heading2"/>
      </w:pPr>
      <w:r>
        <w:t xml:space="preserve">Enyrgy at a Glance</w:t>
      </w:r>
    </w:p>
    <w:p>
      <w:pPr>
        <w:pStyle w:val="FirstParagraph"/>
      </w:pPr>
      <w:r>
        <w:t xml:space="preserve">Enyrgy is a health-technology company that has developed the world’s first intelligent precision phototherapy platform, the Enyrgy Vitamin D Primal Light Platform. The mission: restore the body’s natural ability to respond to sunlight with precision, safety, and measurable benefit.</w:t>
      </w:r>
    </w:p>
    <w:bookmarkEnd w:id="9"/>
    <w:bookmarkStart w:id="10" w:name="updated-company-metrics"/>
    <w:p>
      <w:pPr>
        <w:pStyle w:val="Heading2"/>
      </w:pPr>
      <w:r>
        <w:t xml:space="preserve">Updated Company Metrics</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29"/>
        <w:tblLayout w:type="fixed"/>
        <w:tblLook w:firstRow="1" w:lastRow="0" w:firstColumn="0" w:lastColumn="0" w:noHBand="0" w:noVBand="0" w:val="0020"/>
      </w:tblPr>
      <w:tblGrid>
        <w:gridCol w:w="1516"/>
        <w:gridCol w:w="2527"/>
        <w:gridCol w:w="3763"/>
      </w:tblGrid>
      <w:tr>
        <w:trPr>
          <w:tblHeader w:val="on"/>
        </w:trPr>
        <w:tc>
          <w:tcPr/>
          <w:p>
            <w:pPr>
              <w:pStyle w:val="Compact"/>
              <w:jc w:val="left"/>
            </w:pPr>
            <w:r>
              <w:rPr>
                <w:b/>
                <w:bCs/>
              </w:rPr>
              <w:t xml:space="preserve">Metric</w:t>
            </w:r>
          </w:p>
        </w:tc>
        <w:tc>
          <w:tcPr/>
          <w:p>
            <w:pPr>
              <w:pStyle w:val="Compact"/>
              <w:jc w:val="left"/>
            </w:pPr>
            <w:r>
              <w:rPr>
                <w:b/>
                <w:bCs/>
              </w:rPr>
              <w:t xml:space="preserve">Value</w:t>
            </w:r>
          </w:p>
        </w:tc>
        <w:tc>
          <w:tcPr/>
          <w:p>
            <w:pPr>
              <w:pStyle w:val="Compact"/>
              <w:jc w:val="left"/>
            </w:pPr>
            <w:r>
              <w:rPr>
                <w:b/>
                <w:bCs/>
              </w:rPr>
              <w:t xml:space="preserve">Notes</w:t>
            </w:r>
          </w:p>
        </w:tc>
      </w:tr>
      <w:tr>
        <w:tc>
          <w:tcPr/>
          <w:p>
            <w:pPr>
              <w:pStyle w:val="Compact"/>
              <w:jc w:val="left"/>
            </w:pPr>
            <w:r>
              <w:t xml:space="preserve">Customers</w:t>
            </w:r>
          </w:p>
        </w:tc>
        <w:tc>
          <w:tcPr/>
          <w:p>
            <w:pPr>
              <w:pStyle w:val="Compact"/>
              <w:jc w:val="left"/>
            </w:pPr>
            <w:r>
              <w:t xml:space="preserve">600+</w:t>
            </w:r>
          </w:p>
        </w:tc>
        <w:tc>
          <w:tcPr/>
          <w:p>
            <w:pPr>
              <w:pStyle w:val="Compact"/>
              <w:jc w:val="left"/>
            </w:pPr>
            <w:r>
              <w:t xml:space="preserve">Organic growth, zero paid advertising to date</w:t>
            </w:r>
          </w:p>
        </w:tc>
      </w:tr>
      <w:tr>
        <w:tc>
          <w:tcPr/>
          <w:p>
            <w:pPr>
              <w:pStyle w:val="Compact"/>
              <w:jc w:val="left"/>
            </w:pPr>
            <w:r>
              <w:t xml:space="preserve">Treatments completed</w:t>
            </w:r>
          </w:p>
        </w:tc>
        <w:tc>
          <w:tcPr/>
          <w:p>
            <w:pPr>
              <w:pStyle w:val="Compact"/>
              <w:jc w:val="left"/>
            </w:pPr>
            <w:r>
              <w:t xml:space="preserve">25,000+</w:t>
            </w:r>
          </w:p>
        </w:tc>
        <w:tc>
          <w:tcPr/>
          <w:p>
            <w:pPr>
              <w:pStyle w:val="Compact"/>
              <w:jc w:val="left"/>
            </w:pPr>
            <w:r>
              <w:t xml:space="preserve">Zero burns, zero adverse events</w:t>
            </w:r>
          </w:p>
        </w:tc>
      </w:tr>
      <w:tr>
        <w:tc>
          <w:tcPr/>
          <w:p>
            <w:pPr>
              <w:pStyle w:val="Compact"/>
              <w:jc w:val="left"/>
            </w:pPr>
            <w:r>
              <w:t xml:space="preserve">Consumer Unit MSRP</w:t>
            </w:r>
          </w:p>
        </w:tc>
        <w:tc>
          <w:tcPr/>
          <w:p>
            <w:pPr>
              <w:pStyle w:val="Compact"/>
              <w:jc w:val="left"/>
            </w:pPr>
            <w:r>
              <w:t xml:space="preserve">$2,995</w:t>
            </w:r>
          </w:p>
        </w:tc>
        <w:tc>
          <w:tcPr/>
          <w:p>
            <w:pPr>
              <w:pStyle w:val="Compact"/>
            </w:pPr>
          </w:p>
        </w:tc>
      </w:tr>
      <w:tr>
        <w:tc>
          <w:tcPr/>
          <w:p>
            <w:pPr>
              <w:pStyle w:val="Compact"/>
              <w:jc w:val="left"/>
            </w:pPr>
            <w:r>
              <w:t xml:space="preserve">Commercial Unit MSRP</w:t>
            </w:r>
          </w:p>
        </w:tc>
        <w:tc>
          <w:tcPr/>
          <w:p>
            <w:pPr>
              <w:pStyle w:val="Compact"/>
              <w:jc w:val="left"/>
            </w:pPr>
            <w:r>
              <w:t xml:space="preserve">$8,950</w:t>
            </w:r>
          </w:p>
        </w:tc>
        <w:tc>
          <w:tcPr/>
          <w:p>
            <w:pPr>
              <w:pStyle w:val="Compact"/>
            </w:pPr>
          </w:p>
        </w:tc>
      </w:tr>
      <w:tr>
        <w:tc>
          <w:tcPr/>
          <w:p>
            <w:pPr>
              <w:pStyle w:val="Compact"/>
              <w:jc w:val="left"/>
            </w:pPr>
            <w:r>
              <w:t xml:space="preserve">Consumer Gross Margin</w:t>
            </w:r>
          </w:p>
        </w:tc>
        <w:tc>
          <w:tcPr/>
          <w:p>
            <w:pPr>
              <w:pStyle w:val="Compact"/>
              <w:jc w:val="left"/>
            </w:pPr>
            <w:r>
              <w:t xml:space="preserve">66%</w:t>
            </w:r>
          </w:p>
        </w:tc>
        <w:tc>
          <w:tcPr/>
          <w:p>
            <w:pPr>
              <w:pStyle w:val="Compact"/>
              <w:jc w:val="left"/>
            </w:pPr>
            <w:r>
              <w:t xml:space="preserve">Exceptional for hardware category</w:t>
            </w:r>
          </w:p>
        </w:tc>
      </w:tr>
      <w:tr>
        <w:tc>
          <w:tcPr/>
          <w:p>
            <w:pPr>
              <w:pStyle w:val="Compact"/>
              <w:jc w:val="left"/>
            </w:pPr>
            <w:r>
              <w:t xml:space="preserve">Commercial Gross Margin</w:t>
            </w:r>
          </w:p>
        </w:tc>
        <w:tc>
          <w:tcPr/>
          <w:p>
            <w:pPr>
              <w:pStyle w:val="Compact"/>
              <w:jc w:val="left"/>
            </w:pPr>
            <w:r>
              <w:t xml:space="preserve">78%</w:t>
            </w:r>
          </w:p>
        </w:tc>
        <w:tc>
          <w:tcPr/>
          <w:p>
            <w:pPr>
              <w:pStyle w:val="Compact"/>
              <w:jc w:val="left"/>
            </w:pPr>
            <w:r>
              <w:t xml:space="preserve">Higher margin on commercial volume</w:t>
            </w:r>
          </w:p>
        </w:tc>
      </w:tr>
      <w:tr>
        <w:tc>
          <w:tcPr/>
          <w:p>
            <w:pPr>
              <w:pStyle w:val="Compact"/>
              <w:jc w:val="left"/>
            </w:pPr>
            <w:r>
              <w:t xml:space="preserve">OEM White-Label Partner</w:t>
            </w:r>
          </w:p>
        </w:tc>
        <w:tc>
          <w:tcPr/>
          <w:p>
            <w:pPr>
              <w:pStyle w:val="Compact"/>
              <w:jc w:val="left"/>
            </w:pPr>
            <w:r>
              <w:t xml:space="preserve">Lumanova (Luma D Light)</w:t>
            </w:r>
          </w:p>
        </w:tc>
        <w:tc>
          <w:tcPr/>
          <w:p>
            <w:pPr>
              <w:pStyle w:val="Compact"/>
              <w:jc w:val="left"/>
            </w:pPr>
            <w:r>
              <w:t xml:space="preserve">Active, same MSRP. Seeking 1-2 more.</w:t>
            </w:r>
          </w:p>
        </w:tc>
      </w:tr>
      <w:tr>
        <w:tc>
          <w:tcPr/>
          <w:p>
            <w:pPr>
              <w:pStyle w:val="Compact"/>
              <w:jc w:val="left"/>
            </w:pPr>
            <w:r>
              <w:t xml:space="preserve">Countries with demand</w:t>
            </w:r>
          </w:p>
        </w:tc>
        <w:tc>
          <w:tcPr/>
          <w:p>
            <w:pPr>
              <w:pStyle w:val="Compact"/>
              <w:jc w:val="left"/>
            </w:pPr>
            <w:r>
              <w:t xml:space="preserve">5</w:t>
            </w:r>
          </w:p>
        </w:tc>
        <w:tc>
          <w:tcPr/>
          <w:p>
            <w:pPr>
              <w:pStyle w:val="Compact"/>
              <w:jc w:val="left"/>
            </w:pPr>
            <w:r>
              <w:t xml:space="preserve">USA, UK, Canada, France, New Zealand, all inbound</w:t>
            </w:r>
          </w:p>
        </w:tc>
      </w:tr>
      <w:tr>
        <w:tc>
          <w:tcPr/>
          <w:p>
            <w:pPr>
              <w:pStyle w:val="Compact"/>
              <w:jc w:val="left"/>
            </w:pPr>
            <w:r>
              <w:t xml:space="preserve">Return rate</w:t>
            </w:r>
          </w:p>
        </w:tc>
        <w:tc>
          <w:tcPr/>
          <w:p>
            <w:pPr>
              <w:pStyle w:val="Compact"/>
              <w:jc w:val="left"/>
            </w:pPr>
            <w:r>
              <w:t xml:space="preserve">&lt;1% I</w:t>
            </w:r>
          </w:p>
        </w:tc>
        <w:tc>
          <w:tcPr/>
          <w:p>
            <w:pPr>
              <w:pStyle w:val="Compact"/>
              <w:jc w:val="left"/>
            </w:pPr>
            <w:r>
              <w:t xml:space="preserve">ndustry average 5-10%. Major trust signal.</w:t>
            </w:r>
          </w:p>
        </w:tc>
      </w:tr>
      <w:tr>
        <w:tc>
          <w:tcPr/>
          <w:p>
            <w:pPr>
              <w:pStyle w:val="Compact"/>
              <w:jc w:val="left"/>
            </w:pPr>
            <w:r>
              <w:t xml:space="preserve">Manufacturing / Facility</w:t>
            </w:r>
          </w:p>
        </w:tc>
        <w:tc>
          <w:tcPr/>
          <w:p>
            <w:pPr>
              <w:pStyle w:val="Compact"/>
              <w:jc w:val="left"/>
            </w:pPr>
            <w:r>
              <w:t xml:space="preserve">5115 N 27th Ave, Bld 66, Phoenix, AZ 85017</w:t>
            </w:r>
          </w:p>
        </w:tc>
        <w:tc>
          <w:tcPr/>
          <w:p>
            <w:pPr>
              <w:pStyle w:val="Compact"/>
              <w:jc w:val="left"/>
            </w:pPr>
            <w:r>
              <w:t xml:space="preserve">Made in USA. Relocated from Scottsdale to this Phoenix facility.</w:t>
            </w:r>
          </w:p>
        </w:tc>
      </w:tr>
    </w:tbl>
    <w:bookmarkEnd w:id="10"/>
    <w:bookmarkStart w:id="11" w:name="the-primal-light-platform-triple-pathway"/>
    <w:p>
      <w:pPr>
        <w:pStyle w:val="Heading2"/>
      </w:pPr>
      <w:r>
        <w:t xml:space="preserve">The Primal Light Platform, Triple Pathway</w:t>
      </w:r>
    </w:p>
    <w:p>
      <w:pPr>
        <w:numPr>
          <w:ilvl w:val="0"/>
          <w:numId w:val="1001"/>
        </w:numPr>
      </w:pPr>
      <w:r>
        <w:rPr>
          <w:b/>
          <w:bCs/>
        </w:rPr>
        <w:t xml:space="preserve">PATHWAY 1: Vitamin D Synthesis</w:t>
      </w:r>
      <w:r>
        <w:t xml:space="preserve">, 2.4x more efficient than sunlight. 2-4 minutes = 2-4 hours of mid-day sun.</w:t>
      </w:r>
    </w:p>
    <w:p>
      <w:pPr>
        <w:numPr>
          <w:ilvl w:val="0"/>
          <w:numId w:val="1001"/>
        </w:numPr>
      </w:pPr>
      <w:r>
        <w:rPr>
          <w:b/>
          <w:bCs/>
        </w:rPr>
        <w:t xml:space="preserve">PATHWAY 2: Nitric Oxide Release</w:t>
      </w:r>
      <w:r>
        <w:t xml:space="preserve">, Triggers cardiovascular regulation, blood pressure support. Cannot be delivered orally.</w:t>
      </w:r>
    </w:p>
    <w:p>
      <w:pPr>
        <w:numPr>
          <w:ilvl w:val="0"/>
          <w:numId w:val="1001"/>
        </w:numPr>
      </w:pPr>
      <w:r>
        <w:rPr>
          <w:b/>
          <w:bCs/>
        </w:rPr>
        <w:t xml:space="preserve">PATHWAY 3: Serotonin Production</w:t>
      </w:r>
      <w:r>
        <w:t xml:space="preserve">, Sleep, mood, and cognitive function. Users report improvements within weeks.</w:t>
      </w:r>
    </w:p>
    <w:p>
      <w:pPr>
        <w:pStyle w:val="FirstParagraph"/>
      </w:pPr>
      <w:r>
        <w:rPr>
          <w:b/>
          <w:bCs/>
        </w:rPr>
        <w:t xml:space="preserve">SALES ANCHOR:</w:t>
      </w:r>
      <w:r>
        <w:t xml:space="preserve"> </w:t>
      </w:r>
      <w:r>
        <w:t xml:space="preserve">No other solution delivers all three simultaneously. Supplements = Vitamin D only. Sunlight = 60x more time + cancer risk. Red light = different mechanism entirely (90% of Enyrgy customers use both). Enyrgy is a new category.</w:t>
      </w:r>
    </w:p>
    <w:bookmarkEnd w:id="11"/>
    <w:bookmarkStart w:id="12" w:name="revenue-streams-pricing"/>
    <w:p>
      <w:pPr>
        <w:pStyle w:val="Heading2"/>
      </w:pPr>
      <w:r>
        <w:t xml:space="preserve">Revenue Streams &amp; Pricing</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14"/>
        <w:tblLayout w:type="fixed"/>
        <w:tblLook w:firstRow="1" w:lastRow="0" w:firstColumn="0" w:lastColumn="0" w:noHBand="0" w:noVBand="0" w:val="0020"/>
      </w:tblPr>
      <w:tblGrid>
        <w:gridCol w:w="2867"/>
        <w:gridCol w:w="1433"/>
        <w:gridCol w:w="1228"/>
        <w:gridCol w:w="2253"/>
      </w:tblGrid>
      <w:tr>
        <w:trPr>
          <w:tblHeader w:val="on"/>
        </w:trPr>
        <w:tc>
          <w:tcPr/>
          <w:p>
            <w:pPr>
              <w:pStyle w:val="Compact"/>
              <w:jc w:val="left"/>
            </w:pPr>
            <w:r>
              <w:rPr>
                <w:b/>
                <w:bCs/>
              </w:rPr>
              <w:t xml:space="preserve">Revenue Stream</w:t>
            </w:r>
          </w:p>
        </w:tc>
        <w:tc>
          <w:tcPr/>
          <w:p>
            <w:pPr>
              <w:pStyle w:val="Compact"/>
              <w:jc w:val="left"/>
            </w:pPr>
            <w:r>
              <w:rPr>
                <w:b/>
                <w:bCs/>
              </w:rPr>
              <w:t xml:space="preserve">Price</w:t>
            </w:r>
          </w:p>
        </w:tc>
        <w:tc>
          <w:tcPr/>
          <w:p>
            <w:pPr>
              <w:pStyle w:val="Compact"/>
              <w:jc w:val="left"/>
            </w:pPr>
            <w:r>
              <w:rPr>
                <w:b/>
                <w:bCs/>
              </w:rPr>
              <w:t xml:space="preserve">Margin</w:t>
            </w:r>
          </w:p>
        </w:tc>
        <w:tc>
          <w:tcPr/>
          <w:p>
            <w:pPr>
              <w:pStyle w:val="Compact"/>
              <w:jc w:val="left"/>
            </w:pPr>
            <w:r>
              <w:rPr>
                <w:b/>
                <w:bCs/>
              </w:rPr>
              <w:t xml:space="preserve">Status</w:t>
            </w:r>
          </w:p>
        </w:tc>
      </w:tr>
      <w:tr>
        <w:tc>
          <w:tcPr/>
          <w:p>
            <w:pPr>
              <w:pStyle w:val="Compact"/>
              <w:jc w:val="left"/>
            </w:pPr>
            <w:r>
              <w:t xml:space="preserve">Consumer Unit (DTC direct)</w:t>
            </w:r>
          </w:p>
        </w:tc>
        <w:tc>
          <w:tcPr/>
          <w:p>
            <w:pPr>
              <w:pStyle w:val="Compact"/>
              <w:jc w:val="left"/>
            </w:pPr>
            <w:r>
              <w:t xml:space="preserve">$2,995 6</w:t>
            </w:r>
          </w:p>
        </w:tc>
        <w:tc>
          <w:tcPr/>
          <w:p>
            <w:pPr>
              <w:pStyle w:val="Compact"/>
              <w:jc w:val="left"/>
            </w:pPr>
            <w:r>
              <w:t xml:space="preserve">6% A</w:t>
            </w:r>
          </w:p>
        </w:tc>
        <w:tc>
          <w:tcPr/>
          <w:p>
            <w:pPr>
              <w:pStyle w:val="Compact"/>
              <w:jc w:val="left"/>
            </w:pPr>
            <w:r>
              <w:t xml:space="preserve">ctive, primary revenue driver</w:t>
            </w:r>
          </w:p>
        </w:tc>
      </w:tr>
      <w:tr>
        <w:tc>
          <w:tcPr/>
          <w:p>
            <w:pPr>
              <w:pStyle w:val="Compact"/>
              <w:jc w:val="left"/>
            </w:pPr>
            <w:r>
              <w:t xml:space="preserve">Commercial Unit (B2B wellness)</w:t>
            </w:r>
          </w:p>
        </w:tc>
        <w:tc>
          <w:tcPr/>
          <w:p>
            <w:pPr>
              <w:pStyle w:val="Compact"/>
              <w:jc w:val="left"/>
            </w:pPr>
            <w:r>
              <w:t xml:space="preserve">$8,950 7</w:t>
            </w:r>
          </w:p>
        </w:tc>
        <w:tc>
          <w:tcPr/>
          <w:p>
            <w:pPr>
              <w:pStyle w:val="Compact"/>
              <w:jc w:val="left"/>
            </w:pPr>
            <w:r>
              <w:t xml:space="preserve">8% A</w:t>
            </w:r>
          </w:p>
        </w:tc>
        <w:tc>
          <w:tcPr/>
          <w:p>
            <w:pPr>
              <w:pStyle w:val="Compact"/>
              <w:jc w:val="left"/>
            </w:pPr>
            <w:r>
              <w:t xml:space="preserve">ctive, growing</w:t>
            </w:r>
          </w:p>
        </w:tc>
      </w:tr>
      <w:tr>
        <w:tc>
          <w:tcPr/>
          <w:p>
            <w:pPr>
              <w:pStyle w:val="Compact"/>
              <w:jc w:val="left"/>
            </w:pPr>
            <w:r>
              <w:t xml:space="preserve">OEM White-Label (Lumanova/Luma D Light)</w:t>
            </w:r>
          </w:p>
        </w:tc>
        <w:tc>
          <w:tcPr/>
          <w:p>
            <w:pPr>
              <w:pStyle w:val="Compact"/>
              <w:jc w:val="left"/>
            </w:pPr>
            <w:r>
              <w:t xml:space="preserve">Wholesale</w:t>
            </w:r>
          </w:p>
        </w:tc>
        <w:tc>
          <w:tcPr/>
          <w:p>
            <w:pPr>
              <w:pStyle w:val="Compact"/>
              <w:jc w:val="left"/>
            </w:pPr>
            <w:r>
              <w:t xml:space="preserve">Variable</w:t>
            </w:r>
          </w:p>
        </w:tc>
        <w:tc>
          <w:tcPr/>
          <w:p>
            <w:pPr>
              <w:pStyle w:val="Compact"/>
              <w:jc w:val="left"/>
            </w:pPr>
            <w:r>
              <w:t xml:space="preserve">Active, 1 signed partner</w:t>
            </w:r>
          </w:p>
        </w:tc>
      </w:tr>
      <w:tr>
        <w:tc>
          <w:tcPr/>
          <w:p>
            <w:pPr>
              <w:pStyle w:val="Compact"/>
              <w:jc w:val="left"/>
            </w:pPr>
            <w:r>
              <w:t xml:space="preserve">Investor Capital (Private Credit)</w:t>
            </w:r>
          </w:p>
        </w:tc>
        <w:tc>
          <w:tcPr/>
          <w:p>
            <w:pPr>
              <w:pStyle w:val="Compact"/>
              <w:jc w:val="left"/>
            </w:pPr>
            <w:r>
              <w:t xml:space="preserve">$50K min, 12%/3yr N</w:t>
            </w:r>
          </w:p>
        </w:tc>
        <w:tc>
          <w:tcPr/>
          <w:p>
            <w:pPr>
              <w:pStyle w:val="Compact"/>
              <w:jc w:val="left"/>
            </w:pPr>
            <w:r>
              <w:t xml:space="preserve">/A $</w:t>
            </w:r>
          </w:p>
        </w:tc>
        <w:tc>
          <w:tcPr/>
          <w:p>
            <w:pPr>
              <w:pStyle w:val="Compact"/>
              <w:jc w:val="left"/>
            </w:pPr>
            <w:r>
              <w:t xml:space="preserve">3.5M offering, active raise</w:t>
            </w:r>
          </w:p>
        </w:tc>
      </w:tr>
    </w:tbl>
    <w:bookmarkEnd w:id="12"/>
    <w:bookmarkEnd w:id="13"/>
    <w:bookmarkStart w:id="19" w:name="X8b291bc1562de733447dfbc535b382740163587"/>
    <w:p>
      <w:pPr>
        <w:pStyle w:val="Heading1"/>
      </w:pPr>
      <w:r>
        <w:t xml:space="preserve">SECTION 2: AUTOMATION ARCHITECTURE: PAPERCLIP AGENT SYSTEM + HUMAN IN THE LOOP (HITL)</w:t>
      </w:r>
    </w:p>
    <w:bookmarkStart w:id="14" w:name="Xdf30dccaf5aa0188cc920d15a267cfbdac2c3d4"/>
    <w:p>
      <w:pPr>
        <w:pStyle w:val="Heading2"/>
      </w:pPr>
      <w:r>
        <w:t xml:space="preserve">The Core Philosophy: Agents Own the Process, Humans Own the Relationship</w:t>
      </w:r>
    </w:p>
    <w:p>
      <w:pPr>
        <w:pStyle w:val="FirstParagraph"/>
      </w:pPr>
      <w:r>
        <w:t xml:space="preserve">The dividing line is a rule: agents do anything that benefits from speed, consistency, and scale. Humans do anything that benefits from judgment, trust, and authority. The moment a prospect signals real intent, booking a call, replying with a real question, committing capital, they become a human conversation. Everything before and after that moment is agent territory.</w:t>
      </w:r>
    </w:p>
    <w:bookmarkEnd w:id="14"/>
    <w:bookmarkStart w:id="15" w:name="consumer-and-commercial-funnels"/>
    <w:p>
      <w:pPr>
        <w:pStyle w:val="Heading2"/>
      </w:pPr>
      <w:r>
        <w:t xml:space="preserve">Consumer and Commercial Funnels</w:t>
      </w:r>
    </w:p>
    <w:p>
      <w:pPr>
        <w:pStyle w:val="FirstParagraph"/>
      </w:pPr>
      <w:r>
        <w:rPr>
          <w:b/>
          <w:bCs/>
        </w:rPr>
        <w:t xml:space="preserve">Stage 1: Lead Capture to First Contact (100% Agent).</w:t>
      </w:r>
      <w:r>
        <w:t xml:space="preserve"> </w:t>
      </w:r>
      <w:r>
        <w:t xml:space="preserve">The moment a form is submitted, a DM is sent, or a podcast listener emails in, the Dispatcher agent fires WF-01 within minutes. It reads the incoming data (company field = commercial, investor keyword = investor, everything else = consumer), applies the right type_ tag, source_ tag, status_new, drops the contact into the correct pipeline at Stage 1, and enrolls them in the appropriate drip campaign. For consumer leads, WF-02 fires the 5-minute SMS from the Sales Outreach agent before any human has seen the lead. The only exception: a lead via personal introduction or direct text, create the contact manually in the GHL mobile app immediately and apply drip_bypass if you plan to handle it personally.</w:t>
      </w:r>
    </w:p>
    <w:p>
      <w:pPr>
        <w:pStyle w:val="BodyText"/>
      </w:pPr>
      <w:r>
        <w:rPr>
          <w:b/>
          <w:bCs/>
        </w:rPr>
        <w:t xml:space="preserve">Stage 2: Drip Nurture (95% Agent, 5% Human Awareness).</w:t>
      </w:r>
      <w:r>
        <w:t xml:space="preserve"> </w:t>
      </w:r>
      <w:r>
        <w:t xml:space="preserve">The Sales Outreach agent executes the full Consumer Drip or Commercial Drip autonomously. Emails send on schedule from the sending domain so they look personal. The agent sends the Day 3 SMS and branches on the reply, logs opens/clicks/replies, updates lead score via WF-03, and applies status tags as engagement progresses. Human role: awareness only, via a GHL view filtered to lead score 50+. If a clear buying signal appears before the score threshold, manually apply drip_bypass + escalate to human and jump in.</w:t>
      </w:r>
    </w:p>
    <w:p>
      <w:pPr>
        <w:pStyle w:val="BodyText"/>
      </w:pPr>
      <w:r>
        <w:rPr>
          <w:b/>
          <w:bCs/>
        </w:rPr>
        <w:t xml:space="preserve">Stage 3: Qualification and Discovery Call Booking (Agent Initiates, Human Confirms).</w:t>
      </w:r>
      <w:r>
        <w:t xml:space="preserve"> </w:t>
      </w:r>
      <w:r>
        <w:t xml:space="preserve">At lead score 70+, the SDR agent sends a booking message for the Consumer Discovery Call (Scott, 15 min) or Commercial Discovery (Scott, 20 min). The Stale Lead Sentinel (WF-04) runs daily at 8am; any active-pipeline contact with last_agent_touch &gt; 5 days gets flagged requires_human_review and notifies Scott. Human takes over when the call is booked.</w:t>
      </w:r>
    </w:p>
    <w:p>
      <w:pPr>
        <w:pStyle w:val="BodyText"/>
      </w:pPr>
      <w:r>
        <w:rPr>
          <w:b/>
          <w:bCs/>
        </w:rPr>
        <w:t xml:space="preserve">Stage 4: Discovery Call (100% Human).</w:t>
      </w:r>
      <w:r>
        <w:t xml:space="preserve"> </w:t>
      </w:r>
      <w:r>
        <w:t xml:space="preserve">Scott. Capture the key fields (health goal, current solution, Fitzpatrick skin type, finance preference for consumer; business type, locations, decision maker, units for commercial) and run the demo. After the call, mark Has Seen Demo = Yes, that fires WF-05.</w:t>
      </w:r>
    </w:p>
    <w:p>
      <w:pPr>
        <w:pStyle w:val="BodyText"/>
      </w:pPr>
      <w:r>
        <w:rPr>
          <w:b/>
          <w:bCs/>
        </w:rPr>
        <w:t xml:space="preserve">Stage 5: Post-Demo Follow-Up to Order (Agents Resume).</w:t>
      </w:r>
      <w:r>
        <w:t xml:space="preserve"> </w:t>
      </w:r>
      <w:r>
        <w:t xml:space="preserve">WF-05 triggers the SDR agent to send the personalized proposal same day. The agent owns the next 12 days (Day 2 SMS, Day 5 objection email, Day 8 first-90-days email, Day 12 human-call flag). If they order before Day 12, WF-06 fires on unit_shipped.</w:t>
      </w:r>
    </w:p>
    <w:bookmarkEnd w:id="15"/>
    <w:bookmarkStart w:id="16" w:name="investor-funnel"/>
    <w:p>
      <w:pPr>
        <w:pStyle w:val="Heading2"/>
      </w:pPr>
      <w:r>
        <w:t xml:space="preserve">Investor Funnel</w:t>
      </w:r>
    </w:p>
    <w:p>
      <w:pPr>
        <w:pStyle w:val="FirstParagraph"/>
      </w:pPr>
      <w:r>
        <w:t xml:space="preserve">The investor funnel has a stricter agent/human split for legal reasons.</w:t>
      </w:r>
    </w:p>
    <w:p>
      <w:pPr>
        <w:pStyle w:val="BodyText"/>
      </w:pPr>
      <w:r>
        <w:rPr>
          <w:b/>
          <w:bCs/>
        </w:rPr>
        <w:t xml:space="preserve">Stage 1: Identification and Initial Outreach.</w:t>
      </w:r>
      <w:r>
        <w:t xml:space="preserve"> </w:t>
      </w:r>
      <w:r>
        <w:t xml:space="preserve">Sales Scout runs WF-10 monthly, prospecting investor targets. Warm/personal network contacts: enter manually, apply drip_bypass + investor_warm to skip the cold 8-touch and enroll in the 3-touch Warm Sequence.</w:t>
      </w:r>
    </w:p>
    <w:p>
      <w:pPr>
        <w:pStyle w:val="BodyText"/>
      </w:pPr>
      <w:r>
        <w:rPr>
          <w:b/>
          <w:bCs/>
        </w:rPr>
        <w:t xml:space="preserve">Stage 2: Cold Drip (100% Agent, Compliance-Enforced).</w:t>
      </w:r>
      <w:r>
        <w:t xml:space="preserve"> </w:t>
      </w:r>
      <w:r>
        <w:t xml:space="preserve">Sales Outreach runs the 8-touch sequence. The Audit and Compliance agent scans every investor-bound message: if accredited_verified is not Yes, zero financial content goes out (Reg D protection). Touches 1-6 are credibility and traction only. Touch 2 and 4 are human tasks (LinkedIn connect, direct call) with agent-provided scripts.</w:t>
      </w:r>
    </w:p>
    <w:p>
      <w:pPr>
        <w:pStyle w:val="BodyText"/>
      </w:pPr>
      <w:r>
        <w:rPr>
          <w:b/>
          <w:bCs/>
        </w:rPr>
        <w:t xml:space="preserve">Stage 3: Intro Meeting (Agent Books, Human Owns).</w:t>
      </w:r>
      <w:r>
        <w:t xml:space="preserve"> </w:t>
      </w:r>
      <w:r>
        <w:t xml:space="preserve">On reply/booking, SDR moves them to Intro Meeting; Scott runs the 15-minute call (overview, traction, team). At the end of the call or immediately after, Scott sends the PPM directly. The agent has it queued and ready. No accreditation required before sending the PPM - this is confirmed compliant per Enyrgy’s securities attorney.</w:t>
      </w:r>
    </w:p>
    <w:p>
      <w:pPr>
        <w:pStyle w:val="BodyText"/>
      </w:pPr>
      <w:r>
        <w:rPr>
          <w:b/>
          <w:bCs/>
        </w:rPr>
        <w:t xml:space="preserve">Stage 4: PPM Sent and Due Diligence (Human-Led, Agent-Supported).</w:t>
      </w:r>
      <w:r>
        <w:t xml:space="preserve"> </w:t>
      </w:r>
      <w:r>
        <w:t xml:space="preserve">PRD Gatherer sends a follow-up email gathering questions, timeline, and structure preference into the investor fields. Humans own DD calls (PPM walkthrough, financials, IP, exit). Agents track last-touch and fire Sentinel alerts if 5+ days pass without contact.</w:t>
      </w:r>
    </w:p>
    <w:p>
      <w:pPr>
        <w:pStyle w:val="BodyText"/>
      </w:pPr>
      <w:r>
        <w:rPr>
          <w:b/>
          <w:bCs/>
        </w:rPr>
        <w:t xml:space="preserve">Stage 5: Accreditation and Commitment (Human-Led, Agent-Enforced Gate).</w:t>
      </w:r>
      <w:r>
        <w:t xml:space="preserve"> </w:t>
      </w:r>
      <w:r>
        <w:t xml:space="preserve">When an investor signals intent to invest, the SDR agent sends the accreditation form link. Form completion fires the accredited_verified tag. The Audit and Compliance agent confirms the gate is satisfied before any wire instructions are shared or any investment is accepted. The subscription agreement and term sheet are pre-acceptance documents and may be shared before accreditation is confirmed. ATTORNEY CONFIRMED: accreditation is required before accepting any investment. It is NOT required before sending the PPM, subscription agreement, or term sheet.</w:t>
      </w:r>
    </w:p>
    <w:p>
      <w:pPr>
        <w:pStyle w:val="BodyText"/>
      </w:pPr>
      <w:r>
        <w:rPr>
          <w:b/>
          <w:bCs/>
        </w:rPr>
        <w:t xml:space="preserve">Stage 6: Close (100% Human).</w:t>
      </w:r>
      <w:r>
        <w:t xml:space="preserve"> </w:t>
      </w:r>
      <w:r>
        <w:t xml:space="preserve">Subscription agreement, promissory note, KYC/AML, wire, all human. On investment_funded, the contact moves to Active Investor and CSM takes over the ongoing relationship.</w:t>
      </w:r>
    </w:p>
    <w:bookmarkEnd w:id="16"/>
    <w:bookmarkStart w:id="17" w:name="the-hitl-framework"/>
    <w:p>
      <w:pPr>
        <w:pStyle w:val="Heading2"/>
      </w:pPr>
      <w:r>
        <w:t xml:space="preserve">The HITL Framework</w:t>
      </w:r>
    </w:p>
    <w:p>
      <w:pPr>
        <w:pStyle w:val="FirstParagraph"/>
      </w:pPr>
      <w:r>
        <w:rPr>
          <w:b/>
          <w:bCs/>
        </w:rPr>
        <w:t xml:space="preserve">Agents own:</w:t>
      </w:r>
      <w:r>
        <w:t xml:space="preserve"> </w:t>
      </w:r>
      <w:r>
        <w:t xml:space="preserve">all lead capture and routing; replies to real leads and drip exceptions (GHL sends the scheduled drip touches and the 5-minute first response, not the agents); lead scoring and pipeline tracking; task creation for human follow-up; compliance gate enforcement; booking confirmations; onboarding, review/referral, and reactivation replies and handoffs; Sentinel monitoring; monthly partner prospecting.</w:t>
      </w:r>
    </w:p>
    <w:p>
      <w:pPr>
        <w:pStyle w:val="BodyText"/>
      </w:pPr>
      <w:r>
        <w:rPr>
          <w:b/>
          <w:bCs/>
        </w:rPr>
        <w:t xml:space="preserve">Humans own:</w:t>
      </w:r>
      <w:r>
        <w:t xml:space="preserve"> </w:t>
      </w:r>
      <w:r>
        <w:t xml:space="preserve">every live call; outreach to warm/personal intros before funnel entry; discovery calls (Scott); investor intro and post-PPM due diligence conversations; commercial demo/ROI walkthrough; proposal negotiation; any contract/legal/financial instrument; any conversation with frustration, confusion, or complex objections; Sentinel-flagged judgment calls; escalated contacts.</w:t>
      </w:r>
    </w:p>
    <w:p>
      <w:pPr>
        <w:pStyle w:val="BodyText"/>
      </w:pPr>
      <w:r>
        <w:rPr>
          <w:b/>
          <w:bCs/>
        </w:rPr>
        <w:t xml:space="preserve">The single most important handoff rule:</w:t>
      </w:r>
      <w:r>
        <w:t xml:space="preserve"> </w:t>
      </w:r>
      <w:r>
        <w:t xml:space="preserve">when a contact crosses into live human conversation, apply drip_bypass so the agent does not send another automated email while a personal dialogue is active.</w:t>
      </w:r>
    </w:p>
    <w:bookmarkEnd w:id="17"/>
    <w:bookmarkStart w:id="18" w:name="practical-daily-operating-rhythm"/>
    <w:p>
      <w:pPr>
        <w:pStyle w:val="Heading2"/>
      </w:pPr>
      <w:r>
        <w:t xml:space="preserve">Practical Daily Operating Rhythm</w:t>
      </w:r>
    </w:p>
    <w:p>
      <w:pPr>
        <w:numPr>
          <w:ilvl w:val="0"/>
          <w:numId w:val="1002"/>
        </w:numPr>
      </w:pPr>
      <w:r>
        <w:rPr>
          <w:b/>
          <w:bCs/>
        </w:rPr>
        <w:t xml:space="preserve">Each morning (10-15 min):</w:t>
      </w:r>
      <w:r>
        <w:t xml:space="preserve"> </w:t>
      </w:r>
      <w:r>
        <w:t xml:space="preserve">check three GHL views, requires_human_review (Sentinel flags), lead score 65+ not yet booked (SDR queue), investors between PPM Sent and Commitment.</w:t>
      </w:r>
    </w:p>
    <w:p>
      <w:pPr>
        <w:numPr>
          <w:ilvl w:val="0"/>
          <w:numId w:val="1002"/>
        </w:numPr>
      </w:pPr>
      <w:r>
        <w:rPr>
          <w:b/>
          <w:bCs/>
        </w:rPr>
        <w:t xml:space="preserve">After every live call:</w:t>
      </w:r>
      <w:r>
        <w:t xml:space="preserve"> </w:t>
      </w:r>
      <w:r>
        <w:t xml:space="preserve">update GHL immediately (Has Seen Demo, pipeline stage, notes, tags). Garbage in, garbage out.</w:t>
      </w:r>
    </w:p>
    <w:p>
      <w:pPr>
        <w:numPr>
          <w:ilvl w:val="0"/>
          <w:numId w:val="1002"/>
        </w:numPr>
      </w:pPr>
      <w:r>
        <w:rPr>
          <w:b/>
          <w:bCs/>
        </w:rPr>
        <w:t xml:space="preserve">Weekly:</w:t>
      </w:r>
      <w:r>
        <w:t xml:space="preserve"> </w:t>
      </w:r>
      <w:r>
        <w:t xml:space="preserve">review drip engagement stats; decide whether to rewrite weak touches.</w:t>
      </w:r>
    </w:p>
    <w:p>
      <w:pPr>
        <w:numPr>
          <w:ilvl w:val="0"/>
          <w:numId w:val="1002"/>
        </w:numPr>
      </w:pPr>
      <w:r>
        <w:rPr>
          <w:b/>
          <w:bCs/>
        </w:rPr>
        <w:t xml:space="preserve">Monthly on the 1st:</w:t>
      </w:r>
      <w:r>
        <w:t xml:space="preserve"> </w:t>
      </w:r>
      <w:r>
        <w:t xml:space="preserve">WF-10 fires; review new partner prospects before drip enrollment.</w:t>
      </w:r>
    </w:p>
    <w:bookmarkEnd w:id="18"/>
    <w:bookmarkEnd w:id="19"/>
    <w:bookmarkStart w:id="27" w:name="section-3-paperclip-ai-agent-org-chart"/>
    <w:p>
      <w:pPr>
        <w:pStyle w:val="Heading1"/>
      </w:pPr>
      <w:r>
        <w:t xml:space="preserve">SECTION 3: PAPERCLIP AI AGENT ORG CHART</w:t>
      </w:r>
    </w:p>
    <w:p>
      <w:pPr>
        <w:pStyle w:val="FirstParagraph"/>
      </w:pPr>
      <w:r>
        <w:t xml:space="preserve">Lead enters GHL -&gt; Dispatcher identifies funnel type -&gt; correct drip auto-enrolls -&gt; GHL sends each scheduled touch, agents handle replies and exceptions -&gt; lead score updates after each interaction -&gt; at threshold, SDR books discovery call -&gt; human closes. No engagement after full sequence -&gt; WF-08 re-enrolls for reactivation after 60-day pause.</w:t>
      </w:r>
    </w:p>
    <w:bookmarkStart w:id="20" w:name="c-suite-layer-3-agents"/>
    <w:p>
      <w:pPr>
        <w:pStyle w:val="Heading2"/>
      </w:pPr>
      <w:r>
        <w:t xml:space="preserve">C-Suite Layer (3 Agents)</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21"/>
        <w:tblLayout w:type="fixed"/>
        <w:tblLook w:firstRow="1" w:lastRow="0" w:firstColumn="0" w:lastColumn="0" w:noHBand="0" w:noVBand="0" w:val="0020"/>
      </w:tblPr>
      <w:tblGrid>
        <w:gridCol w:w="1131"/>
        <w:gridCol w:w="1571"/>
        <w:gridCol w:w="3897"/>
        <w:gridCol w:w="1194"/>
      </w:tblGrid>
      <w:tr>
        <w:trPr>
          <w:tblHeader w:val="on"/>
        </w:trPr>
        <w:tc>
          <w:tcPr/>
          <w:p>
            <w:pPr>
              <w:pStyle w:val="Compact"/>
              <w:jc w:val="left"/>
            </w:pPr>
            <w:r>
              <w:rPr>
                <w:b/>
                <w:bCs/>
              </w:rPr>
              <w:t xml:space="preserve">Agent</w:t>
            </w:r>
          </w:p>
        </w:tc>
        <w:tc>
          <w:tcPr/>
          <w:p>
            <w:pPr>
              <w:pStyle w:val="Compact"/>
              <w:jc w:val="left"/>
            </w:pPr>
            <w:r>
              <w:rPr>
                <w:b/>
                <w:bCs/>
              </w:rPr>
              <w:t xml:space="preserve">Function</w:t>
            </w:r>
          </w:p>
        </w:tc>
        <w:tc>
          <w:tcPr/>
          <w:p>
            <w:pPr>
              <w:pStyle w:val="Compact"/>
              <w:jc w:val="left"/>
            </w:pPr>
            <w:r>
              <w:rPr>
                <w:b/>
                <w:bCs/>
              </w:rPr>
              <w:t xml:space="preserve">Key Decisions</w:t>
            </w:r>
          </w:p>
        </w:tc>
        <w:tc>
          <w:tcPr/>
          <w:p>
            <w:pPr>
              <w:pStyle w:val="Compact"/>
              <w:jc w:val="left"/>
            </w:pPr>
            <w:r>
              <w:rPr>
                <w:b/>
                <w:bCs/>
              </w:rPr>
              <w:t xml:space="preserve">Escalates To</w:t>
            </w:r>
          </w:p>
        </w:tc>
      </w:tr>
      <w:tr>
        <w:tc>
          <w:tcPr/>
          <w:p>
            <w:pPr>
              <w:pStyle w:val="Compact"/>
              <w:jc w:val="left"/>
            </w:pPr>
            <w:r>
              <w:t xml:space="preserve">CEO Agent</w:t>
            </w:r>
          </w:p>
        </w:tc>
        <w:tc>
          <w:tcPr/>
          <w:p>
            <w:pPr>
              <w:pStyle w:val="Compact"/>
              <w:jc w:val="left"/>
            </w:pPr>
            <w:r>
              <w:t xml:space="preserve">Executive Orchestrator</w:t>
            </w:r>
          </w:p>
        </w:tc>
        <w:tc>
          <w:tcPr/>
          <w:p>
            <w:pPr>
              <w:pStyle w:val="Compact"/>
              <w:jc w:val="left"/>
            </w:pPr>
            <w:r>
              <w:t xml:space="preserve">Cross-division routing, strategic escalation, OEM oversight</w:t>
            </w:r>
          </w:p>
        </w:tc>
        <w:tc>
          <w:tcPr/>
          <w:p>
            <w:pPr>
              <w:pStyle w:val="Compact"/>
              <w:jc w:val="left"/>
            </w:pPr>
            <w:r>
              <w:t xml:space="preserve">Human founders</w:t>
            </w:r>
          </w:p>
        </w:tc>
      </w:tr>
      <w:tr>
        <w:tc>
          <w:tcPr/>
          <w:p>
            <w:pPr>
              <w:pStyle w:val="Compact"/>
              <w:jc w:val="left"/>
            </w:pPr>
            <w:r>
              <w:t xml:space="preserve">COO Agent</w:t>
            </w:r>
          </w:p>
        </w:tc>
        <w:tc>
          <w:tcPr/>
          <w:p>
            <w:pPr>
              <w:pStyle w:val="Compact"/>
              <w:jc w:val="left"/>
            </w:pPr>
            <w:r>
              <w:t xml:space="preserve">Operations Head</w:t>
            </w:r>
          </w:p>
        </w:tc>
        <w:tc>
          <w:tcPr/>
          <w:p>
            <w:pPr>
              <w:pStyle w:val="Compact"/>
              <w:jc w:val="left"/>
            </w:pPr>
            <w:r>
              <w:t xml:space="preserve">Capacity, ops quality, compliance oversight</w:t>
            </w:r>
          </w:p>
        </w:tc>
        <w:tc>
          <w:tcPr/>
          <w:p>
            <w:pPr>
              <w:pStyle w:val="Compact"/>
              <w:jc w:val="left"/>
            </w:pPr>
            <w:r>
              <w:t xml:space="preserve">CEO Agent</w:t>
            </w:r>
          </w:p>
        </w:tc>
      </w:tr>
      <w:tr>
        <w:tc>
          <w:tcPr/>
          <w:p>
            <w:pPr>
              <w:pStyle w:val="Compact"/>
              <w:jc w:val="left"/>
            </w:pPr>
            <w:r>
              <w:t xml:space="preserve">CRO Agent</w:t>
            </w:r>
          </w:p>
        </w:tc>
        <w:tc>
          <w:tcPr/>
          <w:p>
            <w:pPr>
              <w:pStyle w:val="Compact"/>
              <w:jc w:val="left"/>
            </w:pPr>
            <w:r>
              <w:t xml:space="preserve">Revenue Head</w:t>
            </w:r>
          </w:p>
        </w:tc>
        <w:tc>
          <w:tcPr/>
          <w:p>
            <w:pPr>
              <w:pStyle w:val="Compact"/>
              <w:jc w:val="left"/>
            </w:pPr>
            <w:r>
              <w:t xml:space="preserve">Funnel conversion, drip performance, pipeline health</w:t>
            </w:r>
          </w:p>
        </w:tc>
        <w:tc>
          <w:tcPr/>
          <w:p>
            <w:pPr>
              <w:pStyle w:val="Compact"/>
              <w:jc w:val="left"/>
            </w:pPr>
            <w:r>
              <w:t xml:space="preserve">CEO Agent</w:t>
            </w:r>
          </w:p>
        </w:tc>
      </w:tr>
    </w:tbl>
    <w:bookmarkEnd w:id="20"/>
    <w:bookmarkStart w:id="21" w:name="coo-division-7-agents"/>
    <w:p>
      <w:pPr>
        <w:pStyle w:val="Heading2"/>
      </w:pPr>
      <w:r>
        <w:t xml:space="preserve">COO Division (7 Agents)</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08"/>
        <w:tblLayout w:type="fixed"/>
        <w:tblLook w:firstRow="1" w:lastRow="0" w:firstColumn="0" w:lastColumn="0" w:noHBand="0" w:noVBand="0" w:val="0020"/>
      </w:tblPr>
      <w:tblGrid>
        <w:gridCol w:w="1743"/>
        <w:gridCol w:w="2107"/>
        <w:gridCol w:w="3923"/>
      </w:tblGrid>
      <w:tr>
        <w:trPr>
          <w:tblHeader w:val="on"/>
        </w:trPr>
        <w:tc>
          <w:tcPr/>
          <w:p>
            <w:pPr>
              <w:pStyle w:val="Compact"/>
              <w:jc w:val="left"/>
            </w:pPr>
            <w:r>
              <w:rPr>
                <w:b/>
                <w:bCs/>
              </w:rPr>
              <w:t xml:space="preserve">Agent</w:t>
            </w:r>
          </w:p>
        </w:tc>
        <w:tc>
          <w:tcPr/>
          <w:p>
            <w:pPr>
              <w:pStyle w:val="Compact"/>
              <w:jc w:val="left"/>
            </w:pPr>
            <w:r>
              <w:rPr>
                <w:b/>
                <w:bCs/>
              </w:rPr>
              <w:t xml:space="preserve">Function</w:t>
            </w:r>
          </w:p>
        </w:tc>
        <w:tc>
          <w:tcPr/>
          <w:p>
            <w:pPr>
              <w:pStyle w:val="Compact"/>
              <w:jc w:val="left"/>
            </w:pPr>
            <w:r>
              <w:rPr>
                <w:b/>
                <w:bCs/>
              </w:rPr>
              <w:t xml:space="preserve">Drip Role</w:t>
            </w:r>
          </w:p>
        </w:tc>
      </w:tr>
      <w:tr>
        <w:tc>
          <w:tcPr/>
          <w:p>
            <w:pPr>
              <w:pStyle w:val="Compact"/>
              <w:jc w:val="left"/>
            </w:pPr>
            <w:r>
              <w:t xml:space="preserve">Dispatcher</w:t>
            </w:r>
          </w:p>
        </w:tc>
        <w:tc>
          <w:tcPr/>
          <w:p>
            <w:pPr>
              <w:pStyle w:val="Compact"/>
              <w:jc w:val="left"/>
            </w:pPr>
            <w:r>
              <w:t xml:space="preserve">Routes inbound leads</w:t>
            </w:r>
          </w:p>
        </w:tc>
        <w:tc>
          <w:tcPr/>
          <w:p>
            <w:pPr>
              <w:pStyle w:val="Compact"/>
              <w:jc w:val="left"/>
            </w:pPr>
            <w:r>
              <w:t xml:space="preserve">Triggers correct drip on lead entry</w:t>
            </w:r>
          </w:p>
        </w:tc>
      </w:tr>
      <w:tr>
        <w:tc>
          <w:tcPr/>
          <w:p>
            <w:pPr>
              <w:pStyle w:val="Compact"/>
              <w:jc w:val="left"/>
            </w:pPr>
            <w:r>
              <w:t xml:space="preserve">Onboarding</w:t>
            </w:r>
          </w:p>
        </w:tc>
        <w:tc>
          <w:tcPr/>
          <w:p>
            <w:pPr>
              <w:pStyle w:val="Compact"/>
              <w:jc w:val="left"/>
            </w:pPr>
            <w:r>
              <w:t xml:space="preserve">New customer activation</w:t>
            </w:r>
          </w:p>
        </w:tc>
        <w:tc>
          <w:tcPr/>
          <w:p>
            <w:pPr>
              <w:pStyle w:val="Compact"/>
              <w:jc w:val="left"/>
            </w:pPr>
            <w:r>
              <w:t xml:space="preserve">Runs WF-06 post-purchase onboarding</w:t>
            </w:r>
          </w:p>
        </w:tc>
      </w:tr>
      <w:tr>
        <w:tc>
          <w:tcPr/>
          <w:p>
            <w:pPr>
              <w:pStyle w:val="Compact"/>
              <w:jc w:val="left"/>
            </w:pPr>
            <w:r>
              <w:t xml:space="preserve">Quality Control</w:t>
            </w:r>
          </w:p>
        </w:tc>
        <w:tc>
          <w:tcPr/>
          <w:p>
            <w:pPr>
              <w:pStyle w:val="Compact"/>
              <w:jc w:val="left"/>
            </w:pPr>
            <w:r>
              <w:t xml:space="preserve">Data/workflow auditing</w:t>
            </w:r>
          </w:p>
        </w:tc>
        <w:tc>
          <w:tcPr/>
          <w:p>
            <w:pPr>
              <w:pStyle w:val="Compact"/>
              <w:jc w:val="left"/>
            </w:pPr>
            <w:r>
              <w:t xml:space="preserve">Reviews drip engagement weekly</w:t>
            </w:r>
          </w:p>
        </w:tc>
      </w:tr>
      <w:tr>
        <w:tc>
          <w:tcPr/>
          <w:p>
            <w:pPr>
              <w:pStyle w:val="Compact"/>
              <w:jc w:val="left"/>
            </w:pPr>
            <w:r>
              <w:t xml:space="preserve">KB Manager</w:t>
            </w:r>
          </w:p>
        </w:tc>
        <w:tc>
          <w:tcPr/>
          <w:p>
            <w:pPr>
              <w:pStyle w:val="Compact"/>
              <w:jc w:val="left"/>
            </w:pPr>
            <w:r>
              <w:t xml:space="preserve">Knowledge base maintenance</w:t>
            </w:r>
          </w:p>
        </w:tc>
        <w:tc>
          <w:tcPr/>
          <w:p>
            <w:pPr>
              <w:pStyle w:val="Compact"/>
              <w:jc w:val="left"/>
            </w:pPr>
            <w:r>
              <w:t xml:space="preserve">Updates drip templates when facts change</w:t>
            </w:r>
          </w:p>
        </w:tc>
      </w:tr>
      <w:tr>
        <w:tc>
          <w:tcPr/>
          <w:p>
            <w:pPr>
              <w:pStyle w:val="Compact"/>
              <w:jc w:val="left"/>
            </w:pPr>
            <w:r>
              <w:t xml:space="preserve">Sentinel</w:t>
            </w:r>
          </w:p>
        </w:tc>
        <w:tc>
          <w:tcPr/>
          <w:p>
            <w:pPr>
              <w:pStyle w:val="Compact"/>
              <w:jc w:val="left"/>
            </w:pPr>
            <w:r>
              <w:t xml:space="preserve">Stale lead monitoring</w:t>
            </w:r>
          </w:p>
        </w:tc>
        <w:tc>
          <w:tcPr/>
          <w:p>
            <w:pPr>
              <w:pStyle w:val="Compact"/>
              <w:jc w:val="left"/>
            </w:pPr>
            <w:r>
              <w:t xml:space="preserve">Flags contacts who dropped out mid-sequence (WF-04)</w:t>
            </w:r>
          </w:p>
        </w:tc>
      </w:tr>
      <w:tr>
        <w:tc>
          <w:tcPr/>
          <w:p>
            <w:pPr>
              <w:pStyle w:val="Compact"/>
              <w:jc w:val="left"/>
            </w:pPr>
            <w:r>
              <w:t xml:space="preserve">Audit and Compliance</w:t>
            </w:r>
          </w:p>
        </w:tc>
        <w:tc>
          <w:tcPr/>
          <w:p>
            <w:pPr>
              <w:pStyle w:val="Compact"/>
              <w:jc w:val="left"/>
            </w:pPr>
            <w:r>
              <w:t xml:space="preserve">Content/legal review</w:t>
            </w:r>
          </w:p>
        </w:tc>
        <w:tc>
          <w:tcPr/>
          <w:p>
            <w:pPr>
              <w:pStyle w:val="Compact"/>
              <w:jc w:val="left"/>
            </w:pPr>
            <w:r>
              <w:t xml:space="preserve">Reviews every drip message; investor gate (WF-09)</w:t>
            </w:r>
          </w:p>
        </w:tc>
      </w:tr>
      <w:tr>
        <w:tc>
          <w:tcPr/>
          <w:p>
            <w:pPr>
              <w:pStyle w:val="Compact"/>
              <w:jc w:val="left"/>
            </w:pPr>
            <w:r>
              <w:t xml:space="preserve">PRD Gatherer</w:t>
            </w:r>
          </w:p>
        </w:tc>
        <w:tc>
          <w:tcPr/>
          <w:p>
            <w:pPr>
              <w:pStyle w:val="Compact"/>
              <w:jc w:val="left"/>
            </w:pPr>
            <w:r>
              <w:t xml:space="preserve">Requirements collection</w:t>
            </w:r>
          </w:p>
        </w:tc>
        <w:tc>
          <w:tcPr/>
          <w:p>
            <w:pPr>
              <w:pStyle w:val="Compact"/>
              <w:jc w:val="left"/>
            </w:pPr>
            <w:r>
              <w:t xml:space="preserve">Deploys info-gathering emails in B2B sequences</w:t>
            </w:r>
          </w:p>
        </w:tc>
      </w:tr>
    </w:tbl>
    <w:bookmarkEnd w:id="21"/>
    <w:bookmarkStart w:id="22" w:name="cro-division-6-agents"/>
    <w:p>
      <w:pPr>
        <w:pStyle w:val="Heading2"/>
      </w:pPr>
      <w:r>
        <w:t xml:space="preserve">CRO Division (6 Agents)</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06"/>
        <w:tblLayout w:type="fixed"/>
        <w:tblLook w:firstRow="1" w:lastRow="0" w:firstColumn="0" w:lastColumn="0" w:noHBand="0" w:noVBand="0" w:val="0020"/>
      </w:tblPr>
      <w:tblGrid>
        <w:gridCol w:w="1867"/>
        <w:gridCol w:w="2092"/>
        <w:gridCol w:w="3810"/>
      </w:tblGrid>
      <w:tr>
        <w:trPr>
          <w:tblHeader w:val="on"/>
        </w:trPr>
        <w:tc>
          <w:tcPr/>
          <w:p>
            <w:pPr>
              <w:pStyle w:val="Compact"/>
              <w:jc w:val="left"/>
            </w:pPr>
            <w:r>
              <w:rPr>
                <w:b/>
                <w:bCs/>
              </w:rPr>
              <w:t xml:space="preserve">Agent</w:t>
            </w:r>
          </w:p>
        </w:tc>
        <w:tc>
          <w:tcPr/>
          <w:p>
            <w:pPr>
              <w:pStyle w:val="Compact"/>
              <w:jc w:val="left"/>
            </w:pPr>
            <w:r>
              <w:rPr>
                <w:b/>
                <w:bCs/>
              </w:rPr>
              <w:t xml:space="preserve">Function</w:t>
            </w:r>
          </w:p>
        </w:tc>
        <w:tc>
          <w:tcPr/>
          <w:p>
            <w:pPr>
              <w:pStyle w:val="Compact"/>
              <w:jc w:val="left"/>
            </w:pPr>
            <w:r>
              <w:rPr>
                <w:b/>
                <w:bCs/>
              </w:rPr>
              <w:t xml:space="preserve">Drip Role</w:t>
            </w:r>
          </w:p>
        </w:tc>
      </w:tr>
      <w:tr>
        <w:tc>
          <w:tcPr/>
          <w:p>
            <w:pPr>
              <w:pStyle w:val="Compact"/>
              <w:jc w:val="left"/>
            </w:pPr>
            <w:r>
              <w:t xml:space="preserve">Sales Scout</w:t>
            </w:r>
          </w:p>
        </w:tc>
        <w:tc>
          <w:tcPr/>
          <w:p>
            <w:pPr>
              <w:pStyle w:val="Compact"/>
              <w:jc w:val="left"/>
            </w:pPr>
            <w:r>
              <w:t xml:space="preserve">Lead identification</w:t>
            </w:r>
          </w:p>
        </w:tc>
        <w:tc>
          <w:tcPr/>
          <w:p>
            <w:pPr>
              <w:pStyle w:val="Compact"/>
              <w:jc w:val="left"/>
            </w:pPr>
            <w:r>
              <w:t xml:space="preserve">Identifies ToFu targets; runs WF-10 monthly</w:t>
            </w:r>
          </w:p>
        </w:tc>
      </w:tr>
      <w:tr>
        <w:tc>
          <w:tcPr/>
          <w:p>
            <w:pPr>
              <w:pStyle w:val="Compact"/>
              <w:jc w:val="left"/>
            </w:pPr>
            <w:r>
              <w:t xml:space="preserve">Sales Outreach</w:t>
            </w:r>
          </w:p>
        </w:tc>
        <w:tc>
          <w:tcPr/>
          <w:p>
            <w:pPr>
              <w:pStyle w:val="Compact"/>
              <w:jc w:val="left"/>
            </w:pPr>
            <w:r>
              <w:t xml:space="preserve">Multi-touch nurturing</w:t>
            </w:r>
          </w:p>
        </w:tc>
        <w:tc>
          <w:tcPr/>
          <w:p>
            <w:pPr>
              <w:pStyle w:val="Compact"/>
              <w:jc w:val="left"/>
            </w:pPr>
            <w:r>
              <w:t xml:space="preserve">Executes all drip campaigns autonomously</w:t>
            </w:r>
          </w:p>
        </w:tc>
      </w:tr>
      <w:tr>
        <w:tc>
          <w:tcPr/>
          <w:p>
            <w:pPr>
              <w:pStyle w:val="Compact"/>
              <w:jc w:val="left"/>
            </w:pPr>
            <w:r>
              <w:t xml:space="preserve">SDR</w:t>
            </w:r>
          </w:p>
        </w:tc>
        <w:tc>
          <w:tcPr/>
          <w:p>
            <w:pPr>
              <w:pStyle w:val="Compact"/>
              <w:jc w:val="left"/>
            </w:pPr>
            <w:r>
              <w:t xml:space="preserve">Qualification and booking</w:t>
            </w:r>
          </w:p>
        </w:tc>
        <w:tc>
          <w:tcPr/>
          <w:p>
            <w:pPr>
              <w:pStyle w:val="Compact"/>
              <w:jc w:val="left"/>
            </w:pPr>
            <w:r>
              <w:t xml:space="preserve">Activates after lead score 70+ or demo request</w:t>
            </w:r>
          </w:p>
        </w:tc>
      </w:tr>
      <w:tr>
        <w:tc>
          <w:tcPr/>
          <w:p>
            <w:pPr>
              <w:pStyle w:val="Compact"/>
              <w:jc w:val="left"/>
            </w:pPr>
            <w:r>
              <w:t xml:space="preserve">Client Success Manager</w:t>
            </w:r>
          </w:p>
        </w:tc>
        <w:tc>
          <w:tcPr/>
          <w:p>
            <w:pPr>
              <w:pStyle w:val="Compact"/>
              <w:jc w:val="left"/>
            </w:pPr>
            <w:r>
              <w:t xml:space="preserve">Post-close retention</w:t>
            </w:r>
          </w:p>
        </w:tc>
        <w:tc>
          <w:tcPr/>
          <w:p>
            <w:pPr>
              <w:pStyle w:val="Compact"/>
              <w:jc w:val="left"/>
            </w:pPr>
            <w:r>
              <w:t xml:space="preserve">Onboarding check-ins; quarterly investor updates</w:t>
            </w:r>
          </w:p>
        </w:tc>
      </w:tr>
      <w:tr>
        <w:tc>
          <w:tcPr/>
          <w:p>
            <w:pPr>
              <w:pStyle w:val="Compact"/>
              <w:jc w:val="left"/>
            </w:pPr>
            <w:r>
              <w:t xml:space="preserve">Referral and Reviews</w:t>
            </w:r>
          </w:p>
        </w:tc>
        <w:tc>
          <w:tcPr/>
          <w:p>
            <w:pPr>
              <w:pStyle w:val="Compact"/>
              <w:jc w:val="left"/>
            </w:pPr>
            <w:r>
              <w:t xml:space="preserve">Growth via existing base</w:t>
            </w:r>
          </w:p>
        </w:tc>
        <w:tc>
          <w:tcPr/>
          <w:p>
            <w:pPr>
              <w:pStyle w:val="Compact"/>
              <w:jc w:val="left"/>
            </w:pPr>
            <w:r>
              <w:t xml:space="preserve">Runs WF-07; re-feeds referrals to Consumer Drip</w:t>
            </w:r>
          </w:p>
        </w:tc>
      </w:tr>
      <w:tr>
        <w:tc>
          <w:tcPr/>
          <w:p>
            <w:pPr>
              <w:pStyle w:val="Compact"/>
              <w:jc w:val="left"/>
            </w:pPr>
            <w:r>
              <w:t xml:space="preserve">Reactivation</w:t>
            </w:r>
          </w:p>
        </w:tc>
        <w:tc>
          <w:tcPr/>
          <w:p>
            <w:pPr>
              <w:pStyle w:val="Compact"/>
              <w:jc w:val="left"/>
            </w:pPr>
            <w:r>
              <w:t xml:space="preserve">Cold lead revival</w:t>
            </w:r>
          </w:p>
        </w:tc>
        <w:tc>
          <w:tcPr/>
          <w:p>
            <w:pPr>
              <w:pStyle w:val="Compact"/>
              <w:jc w:val="left"/>
            </w:pPr>
            <w:r>
              <w:t xml:space="preserve">Runs 4-touch reactivation (WF-08)</w:t>
            </w:r>
          </w:p>
        </w:tc>
      </w:tr>
    </w:tbl>
    <w:bookmarkEnd w:id="22"/>
    <w:bookmarkStart w:id="23" w:name="agent-to-workflow-mapping"/>
    <w:p>
      <w:pPr>
        <w:pStyle w:val="Heading2"/>
      </w:pPr>
      <w:r>
        <w:t xml:space="preserve">Agent-to-Workflow Mapping</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890"/>
        <w:tblLayout w:type="fixed"/>
        <w:tblLook w:firstRow="1" w:lastRow="0" w:firstColumn="0" w:lastColumn="0" w:noHBand="0" w:noVBand="0" w:val="0020"/>
      </w:tblPr>
      <w:tblGrid>
        <w:gridCol w:w="3394"/>
        <w:gridCol w:w="2088"/>
        <w:gridCol w:w="2262"/>
      </w:tblGrid>
      <w:tr>
        <w:trPr>
          <w:tblHeader w:val="on"/>
        </w:trPr>
        <w:tc>
          <w:tcPr/>
          <w:p>
            <w:pPr>
              <w:pStyle w:val="Compact"/>
              <w:jc w:val="left"/>
            </w:pPr>
            <w:r>
              <w:rPr>
                <w:b/>
                <w:bCs/>
              </w:rPr>
              <w:t xml:space="preserve">Workflow</w:t>
            </w:r>
          </w:p>
        </w:tc>
        <w:tc>
          <w:tcPr/>
          <w:p>
            <w:pPr>
              <w:pStyle w:val="Compact"/>
              <w:jc w:val="left"/>
            </w:pPr>
            <w:r>
              <w:rPr>
                <w:b/>
                <w:bCs/>
              </w:rPr>
              <w:t xml:space="preserve">Primary Agent</w:t>
            </w:r>
          </w:p>
        </w:tc>
        <w:tc>
          <w:tcPr/>
          <w:p>
            <w:pPr>
              <w:pStyle w:val="Compact"/>
              <w:jc w:val="left"/>
            </w:pPr>
            <w:r>
              <w:rPr>
                <w:b/>
                <w:bCs/>
              </w:rPr>
              <w:t xml:space="preserve">Backup / Escalation</w:t>
            </w:r>
          </w:p>
        </w:tc>
      </w:tr>
      <w:tr>
        <w:tc>
          <w:tcPr/>
          <w:p>
            <w:pPr>
              <w:pStyle w:val="Compact"/>
              <w:jc w:val="left"/>
            </w:pPr>
            <w:r>
              <w:t xml:space="preserve">WF-01 New Lead Router</w:t>
            </w:r>
          </w:p>
        </w:tc>
        <w:tc>
          <w:tcPr/>
          <w:p>
            <w:pPr>
              <w:pStyle w:val="Compact"/>
              <w:jc w:val="left"/>
            </w:pPr>
            <w:r>
              <w:t xml:space="preserve">Dispatcher</w:t>
            </w:r>
          </w:p>
        </w:tc>
        <w:tc>
          <w:tcPr/>
          <w:p>
            <w:pPr>
              <w:pStyle w:val="Compact"/>
              <w:jc w:val="left"/>
            </w:pPr>
            <w:r>
              <w:t xml:space="preserve">COO Agent</w:t>
            </w:r>
          </w:p>
        </w:tc>
      </w:tr>
      <w:tr>
        <w:tc>
          <w:tcPr/>
          <w:p>
            <w:pPr>
              <w:pStyle w:val="Compact"/>
              <w:jc w:val="left"/>
            </w:pPr>
            <w:r>
              <w:t xml:space="preserve">WF-02 5-Minute First Response</w:t>
            </w:r>
          </w:p>
        </w:tc>
        <w:tc>
          <w:tcPr/>
          <w:p>
            <w:pPr>
              <w:pStyle w:val="Compact"/>
              <w:jc w:val="left"/>
            </w:pPr>
            <w:r>
              <w:t xml:space="preserve">Sales Outreach</w:t>
            </w:r>
          </w:p>
        </w:tc>
        <w:tc>
          <w:tcPr/>
          <w:p>
            <w:pPr>
              <w:pStyle w:val="Compact"/>
              <w:jc w:val="left"/>
            </w:pPr>
            <w:r>
              <w:t xml:space="preserve">Dispatcher</w:t>
            </w:r>
          </w:p>
        </w:tc>
      </w:tr>
      <w:tr>
        <w:tc>
          <w:tcPr/>
          <w:p>
            <w:pPr>
              <w:pStyle w:val="Compact"/>
              <w:jc w:val="left"/>
            </w:pPr>
            <w:r>
              <w:t xml:space="preserve">WF-03 Lead Score Updater</w:t>
            </w:r>
          </w:p>
        </w:tc>
        <w:tc>
          <w:tcPr/>
          <w:p>
            <w:pPr>
              <w:pStyle w:val="Compact"/>
              <w:jc w:val="left"/>
            </w:pPr>
            <w:r>
              <w:t xml:space="preserve">SDR</w:t>
            </w:r>
          </w:p>
        </w:tc>
        <w:tc>
          <w:tcPr/>
          <w:p>
            <w:pPr>
              <w:pStyle w:val="Compact"/>
              <w:jc w:val="left"/>
            </w:pPr>
            <w:r>
              <w:t xml:space="preserve">CRO Agent</w:t>
            </w:r>
          </w:p>
        </w:tc>
      </w:tr>
      <w:tr>
        <w:tc>
          <w:tcPr/>
          <w:p>
            <w:pPr>
              <w:pStyle w:val="Compact"/>
              <w:jc w:val="left"/>
            </w:pPr>
            <w:r>
              <w:t xml:space="preserve">WF-04 Stale Lead Sentinel</w:t>
            </w:r>
          </w:p>
        </w:tc>
        <w:tc>
          <w:tcPr/>
          <w:p>
            <w:pPr>
              <w:pStyle w:val="Compact"/>
              <w:jc w:val="left"/>
            </w:pPr>
            <w:r>
              <w:t xml:space="preserve">Sentinel</w:t>
            </w:r>
          </w:p>
        </w:tc>
        <w:tc>
          <w:tcPr/>
          <w:p>
            <w:pPr>
              <w:pStyle w:val="Compact"/>
              <w:jc w:val="left"/>
            </w:pPr>
            <w:r>
              <w:t xml:space="preserve">COO Agent -&gt; CEO Agent</w:t>
            </w:r>
          </w:p>
        </w:tc>
      </w:tr>
      <w:tr>
        <w:tc>
          <w:tcPr/>
          <w:p>
            <w:pPr>
              <w:pStyle w:val="Compact"/>
              <w:jc w:val="left"/>
            </w:pPr>
            <w:r>
              <w:t xml:space="preserve">WF-05 Demo Completion to Proposal</w:t>
            </w:r>
          </w:p>
        </w:tc>
        <w:tc>
          <w:tcPr/>
          <w:p>
            <w:pPr>
              <w:pStyle w:val="Compact"/>
              <w:jc w:val="left"/>
            </w:pPr>
            <w:r>
              <w:t xml:space="preserve">SDR</w:t>
            </w:r>
          </w:p>
        </w:tc>
        <w:tc>
          <w:tcPr/>
          <w:p>
            <w:pPr>
              <w:pStyle w:val="Compact"/>
              <w:jc w:val="left"/>
            </w:pPr>
            <w:r>
              <w:t xml:space="preserve">Human (Scott/David)</w:t>
            </w:r>
          </w:p>
        </w:tc>
      </w:tr>
      <w:tr>
        <w:tc>
          <w:tcPr/>
          <w:p>
            <w:pPr>
              <w:pStyle w:val="Compact"/>
              <w:jc w:val="left"/>
            </w:pPr>
            <w:r>
              <w:t xml:space="preserve">WF-06 New Customer Onboarding</w:t>
            </w:r>
          </w:p>
        </w:tc>
        <w:tc>
          <w:tcPr/>
          <w:p>
            <w:pPr>
              <w:pStyle w:val="Compact"/>
              <w:jc w:val="left"/>
            </w:pPr>
            <w:r>
              <w:t xml:space="preserve">Onboarding</w:t>
            </w:r>
          </w:p>
        </w:tc>
        <w:tc>
          <w:tcPr/>
          <w:p>
            <w:pPr>
              <w:pStyle w:val="Compact"/>
              <w:jc w:val="left"/>
            </w:pPr>
            <w:r>
              <w:t xml:space="preserve">CSM</w:t>
            </w:r>
          </w:p>
        </w:tc>
      </w:tr>
      <w:tr>
        <w:tc>
          <w:tcPr/>
          <w:p>
            <w:pPr>
              <w:pStyle w:val="Compact"/>
              <w:jc w:val="left"/>
            </w:pPr>
            <w:r>
              <w:t xml:space="preserve">WF-07 Review and Referral Activation</w:t>
            </w:r>
          </w:p>
        </w:tc>
        <w:tc>
          <w:tcPr/>
          <w:p>
            <w:pPr>
              <w:pStyle w:val="Compact"/>
              <w:jc w:val="left"/>
            </w:pPr>
            <w:r>
              <w:t xml:space="preserve">Referral and Reviews</w:t>
            </w:r>
          </w:p>
        </w:tc>
        <w:tc>
          <w:tcPr/>
          <w:p>
            <w:pPr>
              <w:pStyle w:val="Compact"/>
              <w:jc w:val="left"/>
            </w:pPr>
            <w:r>
              <w:t xml:space="preserve">CSM</w:t>
            </w:r>
          </w:p>
        </w:tc>
      </w:tr>
      <w:tr>
        <w:tc>
          <w:tcPr/>
          <w:p>
            <w:pPr>
              <w:pStyle w:val="Compact"/>
              <w:jc w:val="left"/>
            </w:pPr>
            <w:r>
              <w:t xml:space="preserve">WF-08 Reactivation Campaign</w:t>
            </w:r>
          </w:p>
        </w:tc>
        <w:tc>
          <w:tcPr/>
          <w:p>
            <w:pPr>
              <w:pStyle w:val="Compact"/>
              <w:jc w:val="left"/>
            </w:pPr>
            <w:r>
              <w:t xml:space="preserve">Reactivation</w:t>
            </w:r>
          </w:p>
        </w:tc>
        <w:tc>
          <w:tcPr/>
          <w:p>
            <w:pPr>
              <w:pStyle w:val="Compact"/>
              <w:jc w:val="left"/>
            </w:pPr>
            <w:r>
              <w:t xml:space="preserve">CRO Agent</w:t>
            </w:r>
          </w:p>
        </w:tc>
      </w:tr>
      <w:tr>
        <w:tc>
          <w:tcPr/>
          <w:p>
            <w:pPr>
              <w:pStyle w:val="Compact"/>
              <w:jc w:val="left"/>
            </w:pPr>
            <w:r>
              <w:t xml:space="preserve">WF-09 Compliance Guardian</w:t>
            </w:r>
          </w:p>
        </w:tc>
        <w:tc>
          <w:tcPr/>
          <w:p>
            <w:pPr>
              <w:pStyle w:val="Compact"/>
              <w:jc w:val="left"/>
            </w:pPr>
            <w:r>
              <w:t xml:space="preserve">Audit and Compliance</w:t>
            </w:r>
          </w:p>
        </w:tc>
        <w:tc>
          <w:tcPr/>
          <w:p>
            <w:pPr>
              <w:pStyle w:val="Compact"/>
              <w:jc w:val="left"/>
            </w:pPr>
            <w:r>
              <w:t xml:space="preserve">COO Agent -&gt; Human legal</w:t>
            </w:r>
          </w:p>
        </w:tc>
      </w:tr>
      <w:tr>
        <w:tc>
          <w:tcPr/>
          <w:p>
            <w:pPr>
              <w:pStyle w:val="Compact"/>
              <w:jc w:val="left"/>
            </w:pPr>
            <w:r>
              <w:t xml:space="preserve">WF-10 Partner Expansion Trigger</w:t>
            </w:r>
          </w:p>
        </w:tc>
        <w:tc>
          <w:tcPr/>
          <w:p>
            <w:pPr>
              <w:pStyle w:val="Compact"/>
              <w:jc w:val="left"/>
            </w:pPr>
            <w:r>
              <w:t xml:space="preserve">Sales Scout</w:t>
            </w:r>
          </w:p>
        </w:tc>
        <w:tc>
          <w:tcPr/>
          <w:p>
            <w:pPr>
              <w:pStyle w:val="Compact"/>
              <w:jc w:val="left"/>
            </w:pPr>
            <w:r>
              <w:t xml:space="preserve">COO Agent</w:t>
            </w:r>
          </w:p>
        </w:tc>
      </w:tr>
    </w:tbl>
    <w:bookmarkEnd w:id="23"/>
    <w:bookmarkStart w:id="24" w:name="compliance-gate-non-negotiable-rules"/>
    <w:p>
      <w:pPr>
        <w:pStyle w:val="Heading2"/>
      </w:pPr>
      <w:r>
        <w:t xml:space="preserve">Compliance Gate, Non-Negotiable Rules</w:t>
      </w:r>
    </w:p>
    <w:p>
      <w:pPr>
        <w:numPr>
          <w:ilvl w:val="0"/>
          <w:numId w:val="1003"/>
        </w:numPr>
      </w:pPr>
      <w:r>
        <w:rPr>
          <w:b/>
          <w:bCs/>
        </w:rPr>
        <w:t xml:space="preserve">PPM delivery:</w:t>
      </w:r>
      <w:r>
        <w:t xml:space="preserve"> </w:t>
      </w:r>
      <w:r>
        <w:t xml:space="preserve">PPM may be sent to any investor after the intro meeting. Accreditation is NOT required before sharing the PPM. Confirmed compliant per Enyrgy’s securities attorney.</w:t>
      </w:r>
    </w:p>
    <w:p>
      <w:pPr>
        <w:numPr>
          <w:ilvl w:val="0"/>
          <w:numId w:val="1003"/>
        </w:numPr>
      </w:pPr>
      <w:r>
        <w:rPr>
          <w:b/>
          <w:bCs/>
        </w:rPr>
        <w:t xml:space="preserve">Commitment gate:</w:t>
      </w:r>
      <w:r>
        <w:t xml:space="preserve"> </w:t>
      </w:r>
      <w:r>
        <w:t xml:space="preserve">accredited_verified = Yes must be confirmed before any wire instructions or acceptance of investment. The subscription agreement and term sheet are pre-acceptance and are NOT gated by accreditation. No exceptions on the money-moving actions.</w:t>
      </w:r>
    </w:p>
    <w:p>
      <w:pPr>
        <w:numPr>
          <w:ilvl w:val="0"/>
          <w:numId w:val="1003"/>
        </w:numPr>
      </w:pPr>
      <w:r>
        <w:rPr>
          <w:b/>
          <w:bCs/>
        </w:rPr>
        <w:t xml:space="preserve">Prohibited words scan:</w:t>
      </w:r>
      <w:r>
        <w:t xml:space="preserve"> </w:t>
      </w:r>
      <w:r>
        <w:t xml:space="preserve">runs before every email/SMS/voicemail across all funnels (see Section 14).</w:t>
      </w:r>
    </w:p>
    <w:p>
      <w:pPr>
        <w:numPr>
          <w:ilvl w:val="0"/>
          <w:numId w:val="1003"/>
        </w:numPr>
      </w:pPr>
      <w:r>
        <w:rPr>
          <w:b/>
          <w:bCs/>
        </w:rPr>
        <w:t xml:space="preserve">Securities attorney:</w:t>
      </w:r>
      <w:r>
        <w:t xml:space="preserve"> </w:t>
      </w:r>
      <w:r>
        <w:t xml:space="preserve">all investor materials approved before loading into GHL.</w:t>
      </w:r>
    </w:p>
    <w:bookmarkEnd w:id="24"/>
    <w:bookmarkStart w:id="25" w:name="phase-2-recommended-agent-additions"/>
    <w:p>
      <w:pPr>
        <w:pStyle w:val="Heading2"/>
      </w:pPr>
      <w:r>
        <w:t xml:space="preserve">Phase 2, Recommended Agent Additions</w:t>
      </w:r>
    </w:p>
    <w:p>
      <w:pPr>
        <w:pStyle w:val="FirstParagraph"/>
      </w:pPr>
      <w:r>
        <w:t xml:space="preserve">Reporting Agent (HIGH), Proposal Writer (HIGH), OEM Pipeline Agent (HIGH), Podcast Attribution Agent (MEDIUM), Clinical Concierge (MEDIUM), Billing Agent (MEDIUM).</w:t>
      </w:r>
    </w:p>
    <w:bookmarkEnd w:id="25"/>
    <w:bookmarkStart w:id="26" w:name="Xc2f99f9bd9420e4da2d5f0ff310a3de23f854a9"/>
    <w:p>
      <w:pPr>
        <w:pStyle w:val="Heading2"/>
      </w:pPr>
      <w:r>
        <w:t xml:space="preserve">KB Manager, Required Knowledge Base Contents</w:t>
      </w:r>
    </w:p>
    <w:p>
      <w:pPr>
        <w:pStyle w:val="FirstParagraph"/>
      </w:pPr>
      <w:r>
        <w:t xml:space="preserve">Clinical study data (+111% Vitamin D, 100% reached optimal, 12-week study); advisor bios (Dr. Bruce Hollis, Dr. Samantha Kimball, Dr. William Grant); all approved talking points (Section 15); all objection scripts (Section 22); current pricing; per-session cost $2.30; facility 5115 N 27th Ave, Bld 66, Phoenix, AZ 85017; prohibited words (Section 14); referral terms; ROI model (6.0x Year-1);</w:t>
      </w:r>
      <w:r>
        <w:t xml:space="preserve"> </w:t>
      </w:r>
      <w:r>
        <w:rPr>
          <w:b/>
          <w:bCs/>
        </w:rPr>
        <w:t xml:space="preserve">ATTORNEY CONFIRMED: PPM may be sent after intro meeting without accreditation. Accreditation required before accepting investment. Not before PPM.</w:t>
      </w:r>
    </w:p>
    <w:bookmarkEnd w:id="26"/>
    <w:bookmarkEnd w:id="27"/>
    <w:bookmarkStart w:id="28" w:name="section-4-five-funnel-types-in-ghl"/>
    <w:p>
      <w:pPr>
        <w:pStyle w:val="Heading1"/>
      </w:pPr>
      <w:r>
        <w:t xml:space="preserve">SECTION 4: FIVE FUNNEL TYPES IN GHL</w:t>
      </w:r>
    </w:p>
    <w:p>
      <w:pPr>
        <w:pStyle w:val="FirstParagraph"/>
      </w:pPr>
      <w:r>
        <w:t xml:space="preserve">Every contact must be categorized into one of five funnels.</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32"/>
        <w:tblLayout w:type="fixed"/>
        <w:tblLook w:firstRow="1" w:lastRow="0" w:firstColumn="0" w:lastColumn="0" w:noHBand="0" w:noVBand="0" w:val="0020"/>
      </w:tblPr>
      <w:tblGrid>
        <w:gridCol w:w="963"/>
        <w:gridCol w:w="3103"/>
        <w:gridCol w:w="1872"/>
        <w:gridCol w:w="1872"/>
      </w:tblGrid>
      <w:tr>
        <w:trPr>
          <w:tblHeader w:val="on"/>
        </w:trPr>
        <w:tc>
          <w:tcPr/>
          <w:p>
            <w:pPr>
              <w:pStyle w:val="Compact"/>
              <w:jc w:val="left"/>
            </w:pPr>
            <w:r>
              <w:rPr>
                <w:b/>
                <w:bCs/>
              </w:rPr>
              <w:t xml:space="preserve">Funnel</w:t>
            </w:r>
          </w:p>
        </w:tc>
        <w:tc>
          <w:tcPr/>
          <w:p>
            <w:pPr>
              <w:pStyle w:val="Compact"/>
              <w:jc w:val="left"/>
            </w:pPr>
            <w:r>
              <w:rPr>
                <w:b/>
                <w:bCs/>
              </w:rPr>
              <w:t xml:space="preserve">Who They Are</w:t>
            </w:r>
          </w:p>
        </w:tc>
        <w:tc>
          <w:tcPr/>
          <w:p>
            <w:pPr>
              <w:pStyle w:val="Compact"/>
              <w:jc w:val="left"/>
            </w:pPr>
            <w:r>
              <w:rPr>
                <w:b/>
                <w:bCs/>
              </w:rPr>
              <w:t xml:space="preserve">Conversion Goal</w:t>
            </w:r>
          </w:p>
        </w:tc>
        <w:tc>
          <w:tcPr/>
          <w:p>
            <w:pPr>
              <w:pStyle w:val="Compact"/>
              <w:jc w:val="left"/>
            </w:pPr>
            <w:r>
              <w:rPr>
                <w:b/>
                <w:bCs/>
              </w:rPr>
              <w:t xml:space="preserve">Deal Value</w:t>
            </w:r>
          </w:p>
        </w:tc>
      </w:tr>
      <w:tr>
        <w:tc>
          <w:tcPr/>
          <w:p>
            <w:pPr>
              <w:pStyle w:val="Compact"/>
              <w:jc w:val="left"/>
            </w:pPr>
            <w:r>
              <w:t xml:space="preserve">Consumer</w:t>
            </w:r>
          </w:p>
        </w:tc>
        <w:tc>
          <w:tcPr/>
          <w:p>
            <w:pPr>
              <w:pStyle w:val="Compact"/>
              <w:jc w:val="left"/>
            </w:pPr>
            <w:r>
              <w:t xml:space="preserve">Individuals seeking Vitamin D, mood, sleep, performance</w:t>
            </w:r>
          </w:p>
        </w:tc>
        <w:tc>
          <w:tcPr/>
          <w:p>
            <w:pPr>
              <w:pStyle w:val="Compact"/>
              <w:jc w:val="left"/>
            </w:pPr>
            <w:r>
              <w:t xml:space="preserve">Purchase Consumer Unit</w:t>
            </w:r>
          </w:p>
        </w:tc>
        <w:tc>
          <w:tcPr/>
          <w:p>
            <w:pPr>
              <w:pStyle w:val="Compact"/>
              <w:jc w:val="left"/>
            </w:pPr>
            <w:r>
              <w:t xml:space="preserve">$2,995 + consumables/referrals</w:t>
            </w:r>
          </w:p>
        </w:tc>
      </w:tr>
      <w:tr>
        <w:tc>
          <w:tcPr/>
          <w:p>
            <w:pPr>
              <w:pStyle w:val="Compact"/>
              <w:jc w:val="left"/>
            </w:pPr>
            <w:r>
              <w:t xml:space="preserve">Commercial</w:t>
            </w:r>
          </w:p>
        </w:tc>
        <w:tc>
          <w:tcPr/>
          <w:p>
            <w:pPr>
              <w:pStyle w:val="Compact"/>
              <w:jc w:val="left"/>
            </w:pPr>
            <w:r>
              <w:t xml:space="preserve">Wellness centers, spas, clinics, gyms</w:t>
            </w:r>
          </w:p>
        </w:tc>
        <w:tc>
          <w:tcPr/>
          <w:p>
            <w:pPr>
              <w:pStyle w:val="Compact"/>
              <w:jc w:val="left"/>
            </w:pPr>
            <w:r>
              <w:t xml:space="preserve">Purchase Commercial Unit(s)</w:t>
            </w:r>
          </w:p>
        </w:tc>
        <w:tc>
          <w:tcPr/>
          <w:p>
            <w:pPr>
              <w:pStyle w:val="Compact"/>
              <w:jc w:val="left"/>
            </w:pPr>
            <w:r>
              <w:t xml:space="preserve">$8,950-$89,500+</w:t>
            </w:r>
          </w:p>
        </w:tc>
      </w:tr>
      <w:tr>
        <w:tc>
          <w:tcPr/>
          <w:p>
            <w:pPr>
              <w:pStyle w:val="Compact"/>
              <w:jc w:val="left"/>
            </w:pPr>
            <w:r>
              <w:t xml:space="preserve">Investor</w:t>
            </w:r>
          </w:p>
        </w:tc>
        <w:tc>
          <w:tcPr/>
          <w:p>
            <w:pPr>
              <w:pStyle w:val="Compact"/>
              <w:jc w:val="left"/>
            </w:pPr>
            <w:r>
              <w:t xml:space="preserve">Accredited investors, family offices</w:t>
            </w:r>
          </w:p>
        </w:tc>
        <w:tc>
          <w:tcPr/>
          <w:p>
            <w:pPr>
              <w:pStyle w:val="Compact"/>
              <w:jc w:val="left"/>
            </w:pPr>
            <w:r>
              <w:t xml:space="preserve">Fund promissory note ($50K min) $</w:t>
            </w:r>
          </w:p>
        </w:tc>
        <w:tc>
          <w:tcPr/>
          <w:p>
            <w:pPr>
              <w:pStyle w:val="Compact"/>
              <w:jc w:val="left"/>
            </w:pPr>
            <w:r>
              <w:t xml:space="preserve">50,000-$500,000+</w:t>
            </w:r>
          </w:p>
        </w:tc>
      </w:tr>
      <w:tr>
        <w:tc>
          <w:tcPr/>
          <w:p>
            <w:pPr>
              <w:pStyle w:val="Compact"/>
              <w:jc w:val="left"/>
            </w:pPr>
            <w:r>
              <w:t xml:space="preserve">Partner</w:t>
            </w:r>
          </w:p>
        </w:tc>
        <w:tc>
          <w:tcPr/>
          <w:p>
            <w:pPr>
              <w:pStyle w:val="Compact"/>
              <w:jc w:val="left"/>
            </w:pPr>
            <w:r>
              <w:t xml:space="preserve">OEM white-label buyers</w:t>
            </w:r>
          </w:p>
        </w:tc>
        <w:tc>
          <w:tcPr/>
          <w:p>
            <w:pPr>
              <w:pStyle w:val="Compact"/>
              <w:jc w:val="left"/>
            </w:pPr>
            <w:r>
              <w:t xml:space="preserve">Signed partnership agreement</w:t>
            </w:r>
          </w:p>
        </w:tc>
        <w:tc>
          <w:tcPr/>
          <w:p>
            <w:pPr>
              <w:pStyle w:val="Compact"/>
              <w:jc w:val="left"/>
            </w:pPr>
            <w:r>
              <w:t xml:space="preserve">Revenue share / wholesale</w:t>
            </w:r>
          </w:p>
        </w:tc>
      </w:tr>
      <w:tr>
        <w:tc>
          <w:tcPr/>
          <w:p>
            <w:pPr>
              <w:pStyle w:val="Compact"/>
              <w:jc w:val="left"/>
            </w:pPr>
            <w:r>
              <w:t xml:space="preserve">Vendor</w:t>
            </w:r>
          </w:p>
        </w:tc>
        <w:tc>
          <w:tcPr/>
          <w:p>
            <w:pPr>
              <w:pStyle w:val="Compact"/>
              <w:jc w:val="left"/>
            </w:pPr>
            <w:r>
              <w:t xml:space="preserve">Contractors, parts suppliers, service vendors</w:t>
            </w:r>
          </w:p>
        </w:tc>
        <w:tc>
          <w:tcPr/>
          <w:p>
            <w:pPr>
              <w:pStyle w:val="Compact"/>
              <w:jc w:val="left"/>
            </w:pPr>
            <w:r>
              <w:t xml:space="preserve">Active vendor contract</w:t>
            </w:r>
          </w:p>
        </w:tc>
        <w:tc>
          <w:tcPr/>
          <w:p>
            <w:pPr>
              <w:pStyle w:val="Compact"/>
              <w:jc w:val="left"/>
            </w:pPr>
            <w:r>
              <w:t xml:space="preserve">Variable</w:t>
            </w:r>
          </w:p>
        </w:tc>
      </w:tr>
    </w:tbl>
    <w:bookmarkEnd w:id="28"/>
    <w:bookmarkStart w:id="31" w:name="section-5-ghl-account-structure"/>
    <w:p>
      <w:pPr>
        <w:pStyle w:val="Heading1"/>
      </w:pPr>
      <w:r>
        <w:t xml:space="preserve">SECTION 5: GHL ACCOUNT STRUCTURE</w:t>
      </w:r>
    </w:p>
    <w:bookmarkStart w:id="29" w:name="key-urls"/>
    <w:p>
      <w:pPr>
        <w:pStyle w:val="Heading2"/>
      </w:pPr>
      <w:r>
        <w:t xml:space="preserve">Key URLs</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899"/>
        <w:tblLayout w:type="fixed"/>
        <w:tblLook w:firstRow="1" w:lastRow="0" w:firstColumn="0" w:lastColumn="0" w:noHBand="0" w:noVBand="0" w:val="0020"/>
      </w:tblPr>
      <w:tblGrid>
        <w:gridCol w:w="2400"/>
        <w:gridCol w:w="5360"/>
      </w:tblGrid>
      <w:tr>
        <w:trPr>
          <w:tblHeader w:val="on"/>
        </w:trPr>
        <w:tc>
          <w:tcPr/>
          <w:p>
            <w:pPr>
              <w:pStyle w:val="Compact"/>
              <w:jc w:val="left"/>
            </w:pPr>
            <w:r>
              <w:rPr>
                <w:b/>
                <w:bCs/>
              </w:rPr>
              <w:t xml:space="preserve">Item</w:t>
            </w:r>
          </w:p>
        </w:tc>
        <w:tc>
          <w:tcPr/>
          <w:p>
            <w:pPr>
              <w:pStyle w:val="Compact"/>
              <w:jc w:val="left"/>
            </w:pPr>
            <w:r>
              <w:rPr>
                <w:b/>
                <w:bCs/>
              </w:rPr>
              <w:t xml:space="preserve">URL</w:t>
            </w:r>
          </w:p>
        </w:tc>
      </w:tr>
      <w:tr>
        <w:tc>
          <w:tcPr/>
          <w:p>
            <w:pPr>
              <w:pStyle w:val="Compact"/>
              <w:jc w:val="left"/>
            </w:pPr>
            <w:r>
              <w:t xml:space="preserve">GHL Sub-Account</w:t>
            </w:r>
          </w:p>
        </w:tc>
        <w:tc>
          <w:tcPr/>
          <w:p>
            <w:pPr>
              <w:pStyle w:val="Compact"/>
              <w:jc w:val="left"/>
            </w:pPr>
            <w:r>
              <w:t xml:space="preserve">https://app.gohighlevel.com/v2/location/GtXjla7Ld1dordsTWrVy/</w:t>
            </w:r>
          </w:p>
        </w:tc>
      </w:tr>
      <w:tr>
        <w:tc>
          <w:tcPr/>
          <w:p>
            <w:pPr>
              <w:pStyle w:val="Compact"/>
              <w:jc w:val="left"/>
            </w:pPr>
            <w:r>
              <w:t xml:space="preserve">SMS Opt-In Page</w:t>
            </w:r>
          </w:p>
        </w:tc>
        <w:tc>
          <w:tcPr/>
          <w:p>
            <w:pPr>
              <w:pStyle w:val="Compact"/>
              <w:jc w:val="left"/>
            </w:pPr>
            <w:r>
              <w:t xml:space="preserve">https://go.enyrgy.com/sms-opt-in</w:t>
            </w:r>
          </w:p>
        </w:tc>
      </w:tr>
      <w:tr>
        <w:tc>
          <w:tcPr/>
          <w:p>
            <w:pPr>
              <w:pStyle w:val="Compact"/>
              <w:jc w:val="left"/>
            </w:pPr>
            <w:r>
              <w:t xml:space="preserve">Recovery Landing (NEW)</w:t>
            </w:r>
          </w:p>
        </w:tc>
        <w:tc>
          <w:tcPr/>
          <w:p>
            <w:pPr>
              <w:pStyle w:val="Compact"/>
              <w:jc w:val="left"/>
            </w:pPr>
            <w:r>
              <w:t xml:space="preserve">https://go.enyrgy.com/recovery-protocol</w:t>
            </w:r>
          </w:p>
        </w:tc>
      </w:tr>
      <w:tr>
        <w:tc>
          <w:tcPr/>
          <w:p>
            <w:pPr>
              <w:pStyle w:val="Compact"/>
              <w:jc w:val="left"/>
            </w:pPr>
            <w:r>
              <w:t xml:space="preserve">Synthesis Gap Landing (NEW)</w:t>
            </w:r>
          </w:p>
        </w:tc>
        <w:tc>
          <w:tcPr/>
          <w:p>
            <w:pPr>
              <w:pStyle w:val="Compact"/>
              <w:jc w:val="left"/>
            </w:pPr>
            <w:r>
              <w:t xml:space="preserve">https://go.enyrgy.com/synthesis-gap</w:t>
            </w:r>
          </w:p>
        </w:tc>
      </w:tr>
      <w:tr>
        <w:tc>
          <w:tcPr/>
          <w:p>
            <w:pPr>
              <w:pStyle w:val="Compact"/>
              <w:jc w:val="left"/>
            </w:pPr>
            <w:r>
              <w:t xml:space="preserve">Consumer Inquiry Form</w:t>
            </w:r>
          </w:p>
        </w:tc>
        <w:tc>
          <w:tcPr/>
          <w:p>
            <w:pPr>
              <w:pStyle w:val="Compact"/>
              <w:jc w:val="left"/>
            </w:pPr>
            <w:r>
              <w:t xml:space="preserve">https://api.leadconnectorhq.com/widget/form/dclY1TB3jA3eitWEQaCo</w:t>
            </w:r>
          </w:p>
        </w:tc>
      </w:tr>
      <w:tr>
        <w:tc>
          <w:tcPr/>
          <w:p>
            <w:pPr>
              <w:pStyle w:val="Compact"/>
              <w:jc w:val="left"/>
            </w:pPr>
            <w:r>
              <w:t xml:space="preserve">Accreditation Form</w:t>
            </w:r>
          </w:p>
        </w:tc>
        <w:tc>
          <w:tcPr/>
          <w:p>
            <w:pPr>
              <w:pStyle w:val="Compact"/>
              <w:jc w:val="left"/>
            </w:pPr>
            <w:r>
              <w:t xml:space="preserve">https://api.leadconnectorhq.com/widget/form/DBQBL51stonmfRcUBsMe</w:t>
            </w:r>
          </w:p>
        </w:tc>
      </w:tr>
      <w:tr>
        <w:tc>
          <w:tcPr/>
          <w:p>
            <w:pPr>
              <w:pStyle w:val="Compact"/>
              <w:jc w:val="left"/>
            </w:pPr>
            <w:r>
              <w:t xml:space="preserve">Testimonial Form</w:t>
            </w:r>
          </w:p>
        </w:tc>
        <w:tc>
          <w:tcPr/>
          <w:p>
            <w:pPr>
              <w:pStyle w:val="Compact"/>
              <w:jc w:val="left"/>
            </w:pPr>
            <w:r>
              <w:t xml:space="preserve">https://api.leadconnectorhq.com/widget/form/OjahkWeVDeozQkfG9dW2</w:t>
            </w:r>
          </w:p>
        </w:tc>
      </w:tr>
    </w:tbl>
    <w:bookmarkEnd w:id="29"/>
    <w:bookmarkStart w:id="30" w:name="phone-system"/>
    <w:p>
      <w:pPr>
        <w:pStyle w:val="Heading2"/>
      </w:pPr>
      <w:r>
        <w:t xml:space="preserve">Phone System</w:t>
      </w:r>
    </w:p>
    <w:p>
      <w:pPr>
        <w:numPr>
          <w:ilvl w:val="0"/>
          <w:numId w:val="1004"/>
        </w:numPr>
      </w:pPr>
      <w:r>
        <w:t xml:space="preserve">Number: +1 888-316-1695 (Toll-Free)</w:t>
      </w:r>
    </w:p>
    <w:p>
      <w:pPr>
        <w:numPr>
          <w:ilvl w:val="0"/>
          <w:numId w:val="1004"/>
        </w:numPr>
      </w:pPr>
      <w:r>
        <w:rPr>
          <w:b/>
          <w:bCs/>
        </w:rPr>
        <w:t xml:space="preserve">Two numbers exist on purpose, do not</w:t>
      </w:r>
      <w:r>
        <w:rPr>
          <w:b/>
          <w:bCs/>
        </w:rPr>
        <w:t xml:space="preserve"> </w:t>
      </w:r>
      <w:r>
        <w:rPr>
          <w:b/>
          <w:bCs/>
        </w:rPr>
        <w:t xml:space="preserve">“correct”</w:t>
      </w:r>
      <w:r>
        <w:rPr>
          <w:b/>
          <w:bCs/>
        </w:rPr>
        <w:t xml:space="preserve"> </w:t>
      </w:r>
      <w:r>
        <w:rPr>
          <w:b/>
          <w:bCs/>
        </w:rPr>
        <w:t xml:space="preserve">one to the other.</w:t>
      </w:r>
      <w:r>
        <w:t xml:space="preserve"> </w:t>
      </w:r>
      <w:r>
        <w:t xml:space="preserve">888-316-1695 is the GHL toll-free line, A2P-verified, and is what sends SMS and places outbound calls.</w:t>
      </w:r>
      <w:r>
        <w:t xml:space="preserve"> </w:t>
      </w:r>
      <w:r>
        <w:rPr>
          <w:b/>
          <w:bCs/>
        </w:rPr>
        <w:t xml:space="preserve">602-321-0322 is Scott’s direct number</w:t>
      </w:r>
      <w:r>
        <w:t xml:space="preserve"> </w:t>
      </w:r>
      <w:r>
        <w:t xml:space="preserve">and belongs in email signatures and the team reference, where a human contact is what the reader wants. The cover, Section 7 and the signature block all use 602 deliberately.</w:t>
      </w:r>
    </w:p>
    <w:p>
      <w:pPr>
        <w:numPr>
          <w:ilvl w:val="0"/>
          <w:numId w:val="1004"/>
        </w:numPr>
      </w:pPr>
      <w:r>
        <w:t xml:space="preserve">System: LC Phone (LeadConnector)</w:t>
      </w:r>
    </w:p>
    <w:p>
      <w:pPr>
        <w:numPr>
          <w:ilvl w:val="0"/>
          <w:numId w:val="1004"/>
        </w:numPr>
      </w:pPr>
      <w:r>
        <w:t xml:space="preserve">A2P Status: Approved &amp; Verified</w:t>
      </w:r>
    </w:p>
    <w:p>
      <w:pPr>
        <w:numPr>
          <w:ilvl w:val="0"/>
          <w:numId w:val="1004"/>
        </w:numPr>
      </w:pPr>
      <w:r>
        <w:t xml:space="preserve">Voice Integrity: Passed</w:t>
      </w:r>
    </w:p>
    <w:p>
      <w:pPr>
        <w:numPr>
          <w:ilvl w:val="0"/>
          <w:numId w:val="1004"/>
        </w:numPr>
      </w:pPr>
      <w:r>
        <w:t xml:space="preserve">SHAKEN/STIR: Approved &amp; Verified</w:t>
      </w:r>
    </w:p>
    <w:bookmarkEnd w:id="30"/>
    <w:bookmarkEnd w:id="31"/>
    <w:bookmarkStart w:id="32" w:name="section-6-calendar-reference"/>
    <w:p>
      <w:pPr>
        <w:pStyle w:val="Heading1"/>
      </w:pPr>
      <w:r>
        <w:t xml:space="preserve">SECTION 6: CALENDAR REFERENCE</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888"/>
        <w:tblLayout w:type="fixed"/>
        <w:tblLook w:firstRow="1" w:lastRow="0" w:firstColumn="0" w:lastColumn="0" w:noHBand="0" w:noVBand="0" w:val="0020"/>
      </w:tblPr>
      <w:tblGrid>
        <w:gridCol w:w="2402"/>
        <w:gridCol w:w="1601"/>
        <w:gridCol w:w="2135"/>
        <w:gridCol w:w="1601"/>
      </w:tblGrid>
      <w:tr>
        <w:trPr>
          <w:tblHeader w:val="on"/>
        </w:trPr>
        <w:tc>
          <w:tcPr/>
          <w:p>
            <w:pPr>
              <w:pStyle w:val="Compact"/>
              <w:jc w:val="left"/>
            </w:pPr>
            <w:r>
              <w:rPr>
                <w:b/>
                <w:bCs/>
              </w:rPr>
              <w:t xml:space="preserve">Calendar</w:t>
            </w:r>
          </w:p>
        </w:tc>
        <w:tc>
          <w:tcPr/>
          <w:p>
            <w:pPr>
              <w:pStyle w:val="Compact"/>
              <w:jc w:val="left"/>
            </w:pPr>
            <w:r>
              <w:rPr>
                <w:b/>
                <w:bCs/>
              </w:rPr>
              <w:t xml:space="preserve">Type</w:t>
            </w:r>
          </w:p>
        </w:tc>
        <w:tc>
          <w:tcPr/>
          <w:p>
            <w:pPr>
              <w:pStyle w:val="Compact"/>
              <w:jc w:val="left"/>
            </w:pPr>
            <w:r>
              <w:rPr>
                <w:b/>
                <w:bCs/>
              </w:rPr>
              <w:t xml:space="preserve">Owner</w:t>
            </w:r>
          </w:p>
        </w:tc>
        <w:tc>
          <w:tcPr/>
          <w:p>
            <w:pPr>
              <w:pStyle w:val="Compact"/>
              <w:jc w:val="left"/>
            </w:pPr>
            <w:r>
              <w:rPr>
                <w:b/>
                <w:bCs/>
              </w:rPr>
              <w:t xml:space="preserve">Duration</w:t>
            </w:r>
          </w:p>
        </w:tc>
      </w:tr>
      <w:tr>
        <w:tc>
          <w:tcPr/>
          <w:p>
            <w:pPr>
              <w:pStyle w:val="Compact"/>
              <w:jc w:val="left"/>
            </w:pPr>
            <w:r>
              <w:t xml:space="preserve">Investor Intro Call</w:t>
            </w:r>
          </w:p>
        </w:tc>
        <w:tc>
          <w:tcPr/>
          <w:p>
            <w:pPr>
              <w:pStyle w:val="Compact"/>
              <w:jc w:val="left"/>
            </w:pPr>
            <w:r>
              <w:t xml:space="preserve">Personal</w:t>
            </w:r>
          </w:p>
        </w:tc>
        <w:tc>
          <w:tcPr/>
          <w:p>
            <w:pPr>
              <w:pStyle w:val="Compact"/>
              <w:jc w:val="left"/>
            </w:pPr>
            <w:r>
              <w:t xml:space="preserve">Scott</w:t>
            </w:r>
          </w:p>
        </w:tc>
        <w:tc>
          <w:tcPr/>
          <w:p>
            <w:pPr>
              <w:pStyle w:val="Compact"/>
              <w:jc w:val="left"/>
            </w:pPr>
            <w:r>
              <w:t xml:space="preserve">15 min</w:t>
            </w:r>
          </w:p>
        </w:tc>
      </w:tr>
      <w:tr>
        <w:tc>
          <w:tcPr/>
          <w:p>
            <w:pPr>
              <w:pStyle w:val="Compact"/>
              <w:jc w:val="left"/>
            </w:pPr>
            <w:r>
              <w:t xml:space="preserve">Investor Presentation</w:t>
            </w:r>
          </w:p>
        </w:tc>
        <w:tc>
          <w:tcPr/>
          <w:p>
            <w:pPr>
              <w:pStyle w:val="Compact"/>
              <w:jc w:val="left"/>
            </w:pPr>
            <w:r>
              <w:t xml:space="preserve">Collective</w:t>
            </w:r>
          </w:p>
        </w:tc>
        <w:tc>
          <w:tcPr/>
          <w:p>
            <w:pPr>
              <w:pStyle w:val="Compact"/>
              <w:jc w:val="left"/>
            </w:pPr>
            <w:r>
              <w:t xml:space="preserve">Scott + David + Brian</w:t>
            </w:r>
          </w:p>
        </w:tc>
        <w:tc>
          <w:tcPr/>
          <w:p>
            <w:pPr>
              <w:pStyle w:val="Compact"/>
              <w:jc w:val="left"/>
            </w:pPr>
            <w:r>
              <w:t xml:space="preserve">30 min</w:t>
            </w:r>
          </w:p>
        </w:tc>
      </w:tr>
      <w:tr>
        <w:tc>
          <w:tcPr/>
          <w:p>
            <w:pPr>
              <w:pStyle w:val="Compact"/>
              <w:jc w:val="left"/>
            </w:pPr>
            <w:r>
              <w:t xml:space="preserve">Consumer Discovery Call</w:t>
            </w:r>
          </w:p>
        </w:tc>
        <w:tc>
          <w:tcPr/>
          <w:p>
            <w:pPr>
              <w:pStyle w:val="Compact"/>
              <w:jc w:val="left"/>
            </w:pPr>
            <w:r>
              <w:t xml:space="preserve">Round Robin</w:t>
            </w:r>
          </w:p>
        </w:tc>
        <w:tc>
          <w:tcPr/>
          <w:p>
            <w:pPr>
              <w:pStyle w:val="Compact"/>
              <w:jc w:val="left"/>
            </w:pPr>
            <w:r>
              <w:t xml:space="preserve">Scott 15 min</w:t>
            </w:r>
          </w:p>
        </w:tc>
        <w:tc>
          <w:tcPr/>
          <w:p>
            <w:pPr>
              <w:pStyle w:val="Compact"/>
            </w:pPr>
          </w:p>
        </w:tc>
      </w:tr>
      <w:tr>
        <w:tc>
          <w:tcPr/>
          <w:p>
            <w:pPr>
              <w:pStyle w:val="Compact"/>
              <w:jc w:val="left"/>
            </w:pPr>
            <w:r>
              <w:t xml:space="preserve">Commercial Discovery</w:t>
            </w:r>
          </w:p>
        </w:tc>
        <w:tc>
          <w:tcPr/>
          <w:p>
            <w:pPr>
              <w:pStyle w:val="Compact"/>
              <w:jc w:val="left"/>
            </w:pPr>
            <w:r>
              <w:t xml:space="preserve">Round Robin</w:t>
            </w:r>
          </w:p>
        </w:tc>
        <w:tc>
          <w:tcPr/>
          <w:p>
            <w:pPr>
              <w:pStyle w:val="Compact"/>
              <w:jc w:val="left"/>
            </w:pPr>
            <w:r>
              <w:t xml:space="preserve">Scott 20 min</w:t>
            </w:r>
          </w:p>
        </w:tc>
        <w:tc>
          <w:tcPr/>
          <w:p>
            <w:pPr>
              <w:pStyle w:val="Compact"/>
            </w:pPr>
          </w:p>
        </w:tc>
      </w:tr>
      <w:tr>
        <w:tc>
          <w:tcPr/>
          <w:p>
            <w:pPr>
              <w:pStyle w:val="Compact"/>
              <w:jc w:val="left"/>
            </w:pPr>
            <w:r>
              <w:t xml:space="preserve">Partner Exploratory Call</w:t>
            </w:r>
          </w:p>
        </w:tc>
        <w:tc>
          <w:tcPr/>
          <w:p>
            <w:pPr>
              <w:pStyle w:val="Compact"/>
              <w:jc w:val="left"/>
            </w:pPr>
            <w:r>
              <w:t xml:space="preserve">Personal</w:t>
            </w:r>
          </w:p>
        </w:tc>
        <w:tc>
          <w:tcPr/>
          <w:p>
            <w:pPr>
              <w:pStyle w:val="Compact"/>
              <w:jc w:val="left"/>
            </w:pPr>
            <w:r>
              <w:t xml:space="preserve">Scott</w:t>
            </w:r>
          </w:p>
        </w:tc>
        <w:tc>
          <w:tcPr/>
          <w:p>
            <w:pPr>
              <w:pStyle w:val="Compact"/>
              <w:jc w:val="left"/>
            </w:pPr>
            <w:r>
              <w:t xml:space="preserve">20 min</w:t>
            </w:r>
          </w:p>
        </w:tc>
      </w:tr>
      <w:tr>
        <w:tc>
          <w:tcPr/>
          <w:p>
            <w:pPr>
              <w:pStyle w:val="Compact"/>
              <w:jc w:val="left"/>
            </w:pPr>
            <w:r>
              <w:t xml:space="preserve">Vendor Meeting</w:t>
            </w:r>
          </w:p>
        </w:tc>
        <w:tc>
          <w:tcPr/>
          <w:p>
            <w:pPr>
              <w:pStyle w:val="Compact"/>
              <w:jc w:val="left"/>
            </w:pPr>
            <w:r>
              <w:t xml:space="preserve">Personal</w:t>
            </w:r>
          </w:p>
        </w:tc>
        <w:tc>
          <w:tcPr/>
          <w:p>
            <w:pPr>
              <w:pStyle w:val="Compact"/>
              <w:jc w:val="left"/>
            </w:pPr>
            <w:r>
              <w:t xml:space="preserve">Scott</w:t>
            </w:r>
          </w:p>
        </w:tc>
        <w:tc>
          <w:tcPr/>
          <w:p>
            <w:pPr>
              <w:pStyle w:val="Compact"/>
              <w:jc w:val="left"/>
            </w:pPr>
            <w:r>
              <w:t xml:space="preserve">20 min</w:t>
            </w:r>
          </w:p>
        </w:tc>
      </w:tr>
    </w:tbl>
    <w:bookmarkEnd w:id="32"/>
    <w:bookmarkStart w:id="34" w:name="section-7-team-reference"/>
    <w:p>
      <w:pPr>
        <w:pStyle w:val="Heading1"/>
      </w:pPr>
      <w:r>
        <w:t xml:space="preserve">SECTION 7: TEAM REFERENCE</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892"/>
        <w:tblLayout w:type="fixed"/>
        <w:tblLook w:firstRow="1" w:lastRow="0" w:firstColumn="0" w:lastColumn="0" w:noHBand="0" w:noVBand="0" w:val="0020"/>
      </w:tblPr>
      <w:tblGrid>
        <w:gridCol w:w="1618"/>
        <w:gridCol w:w="2129"/>
        <w:gridCol w:w="2469"/>
        <w:gridCol w:w="1532"/>
      </w:tblGrid>
      <w:tr>
        <w:trPr>
          <w:tblHeader w:val="on"/>
        </w:trPr>
        <w:tc>
          <w:tcPr/>
          <w:p>
            <w:pPr>
              <w:pStyle w:val="Compact"/>
              <w:jc w:val="left"/>
            </w:pPr>
            <w:r>
              <w:rPr>
                <w:b/>
                <w:bCs/>
              </w:rPr>
              <w:t xml:space="preserve">Name</w:t>
            </w:r>
          </w:p>
        </w:tc>
        <w:tc>
          <w:tcPr/>
          <w:p>
            <w:pPr>
              <w:pStyle w:val="Compact"/>
              <w:jc w:val="left"/>
            </w:pPr>
            <w:r>
              <w:rPr>
                <w:b/>
                <w:bCs/>
              </w:rPr>
              <w:t xml:space="preserve">Role</w:t>
            </w:r>
          </w:p>
        </w:tc>
        <w:tc>
          <w:tcPr/>
          <w:p>
            <w:pPr>
              <w:pStyle w:val="Compact"/>
              <w:jc w:val="left"/>
            </w:pPr>
            <w:r>
              <w:rPr>
                <w:b/>
                <w:bCs/>
              </w:rPr>
              <w:t xml:space="preserve">Email</w:t>
            </w:r>
          </w:p>
        </w:tc>
        <w:tc>
          <w:tcPr/>
          <w:p>
            <w:pPr>
              <w:pStyle w:val="Compact"/>
              <w:jc w:val="left"/>
            </w:pPr>
            <w:r>
              <w:rPr>
                <w:b/>
                <w:bCs/>
              </w:rPr>
              <w:t xml:space="preserve">Phone</w:t>
            </w:r>
          </w:p>
        </w:tc>
      </w:tr>
      <w:tr>
        <w:tc>
          <w:tcPr/>
          <w:p>
            <w:pPr>
              <w:pStyle w:val="Compact"/>
              <w:jc w:val="left"/>
            </w:pPr>
            <w:r>
              <w:t xml:space="preserve">Scott Hansbury</w:t>
            </w:r>
          </w:p>
        </w:tc>
        <w:tc>
          <w:tcPr/>
          <w:p>
            <w:pPr>
              <w:pStyle w:val="Compact"/>
              <w:jc w:val="left"/>
            </w:pPr>
            <w:r>
              <w:t xml:space="preserve">Co-founder &amp; CEO</w:t>
            </w:r>
          </w:p>
        </w:tc>
        <w:tc>
          <w:tcPr/>
          <w:p>
            <w:pPr>
              <w:pStyle w:val="Compact"/>
              <w:jc w:val="left"/>
            </w:pPr>
            <w:r>
              <w:t xml:space="preserve">scott@enyrgy.com</w:t>
            </w:r>
          </w:p>
        </w:tc>
        <w:tc>
          <w:tcPr/>
          <w:p>
            <w:pPr>
              <w:pStyle w:val="Compact"/>
              <w:jc w:val="left"/>
            </w:pPr>
            <w:r>
              <w:t xml:space="preserve">602-321-0322</w:t>
            </w:r>
          </w:p>
        </w:tc>
      </w:tr>
      <w:tr>
        <w:tc>
          <w:tcPr/>
          <w:p>
            <w:pPr>
              <w:pStyle w:val="Compact"/>
              <w:jc w:val="left"/>
            </w:pPr>
            <w:r>
              <w:t xml:space="preserve">David Letourneau</w:t>
            </w:r>
          </w:p>
        </w:tc>
        <w:tc>
          <w:tcPr/>
          <w:p>
            <w:pPr>
              <w:pStyle w:val="Compact"/>
              <w:jc w:val="left"/>
            </w:pPr>
            <w:r>
              <w:t xml:space="preserve">President &amp; Co-Founder</w:t>
            </w:r>
          </w:p>
        </w:tc>
        <w:tc>
          <w:tcPr/>
          <w:p>
            <w:pPr>
              <w:pStyle w:val="Compact"/>
              <w:jc w:val="left"/>
            </w:pPr>
            <w:r>
              <w:t xml:space="preserve">david@enyrgy.com</w:t>
            </w:r>
          </w:p>
        </w:tc>
        <w:tc>
          <w:tcPr/>
          <w:p>
            <w:pPr>
              <w:pStyle w:val="Compact"/>
              <w:jc w:val="left"/>
            </w:pPr>
            <w:r>
              <w:t xml:space="preserve">602-625-6607</w:t>
            </w:r>
          </w:p>
        </w:tc>
      </w:tr>
      <w:tr>
        <w:tc>
          <w:tcPr/>
          <w:p>
            <w:pPr>
              <w:pStyle w:val="Compact"/>
              <w:jc w:val="left"/>
            </w:pPr>
            <w:r>
              <w:t xml:space="preserve">Brian Cameron</w:t>
            </w:r>
          </w:p>
        </w:tc>
        <w:tc>
          <w:tcPr/>
          <w:p>
            <w:pPr>
              <w:pStyle w:val="Compact"/>
              <w:jc w:val="left"/>
            </w:pPr>
            <w:r>
              <w:t xml:space="preserve">CFO</w:t>
            </w:r>
          </w:p>
        </w:tc>
        <w:tc>
          <w:tcPr/>
          <w:p>
            <w:pPr>
              <w:pStyle w:val="Compact"/>
              <w:jc w:val="left"/>
            </w:pPr>
            <w:r>
              <w:t xml:space="preserve">bcameron@brian-cameron.com</w:t>
            </w:r>
          </w:p>
        </w:tc>
        <w:tc>
          <w:tcPr/>
          <w:p>
            <w:pPr>
              <w:pStyle w:val="Compact"/>
              <w:jc w:val="left"/>
            </w:pPr>
            <w:r>
              <w:t xml:space="preserve">602-865-9356</w:t>
            </w:r>
          </w:p>
        </w:tc>
      </w:tr>
      <w:tr>
        <w:tc>
          <w:tcPr/>
          <w:p>
            <w:pPr>
              <w:pStyle w:val="Compact"/>
              <w:jc w:val="left"/>
            </w:pPr>
            <w:r>
              <w:t xml:space="preserve">Dennis Lan</w:t>
            </w:r>
          </w:p>
        </w:tc>
        <w:tc>
          <w:tcPr/>
          <w:p>
            <w:pPr>
              <w:pStyle w:val="Compact"/>
              <w:jc w:val="left"/>
            </w:pPr>
            <w:r>
              <w:t xml:space="preserve">Director, Supply Chain ,</w:t>
            </w:r>
          </w:p>
        </w:tc>
        <w:tc>
          <w:tcPr/>
          <w:p>
            <w:pPr>
              <w:pStyle w:val="Compact"/>
              <w:jc w:val="left"/>
            </w:pPr>
            <w:r>
              <w:t xml:space="preserve">—</w:t>
            </w:r>
          </w:p>
        </w:tc>
        <w:tc>
          <w:tcPr/>
          <w:p>
            <w:pPr>
              <w:pStyle w:val="Compact"/>
            </w:pPr>
          </w:p>
        </w:tc>
      </w:tr>
      <w:tr>
        <w:tc>
          <w:tcPr/>
          <w:p>
            <w:pPr>
              <w:pStyle w:val="Compact"/>
              <w:jc w:val="left"/>
            </w:pPr>
            <w:r>
              <w:t xml:space="preserve">Dario Pompeii</w:t>
            </w:r>
          </w:p>
        </w:tc>
        <w:tc>
          <w:tcPr/>
          <w:p>
            <w:pPr>
              <w:pStyle w:val="Compact"/>
              <w:jc w:val="left"/>
            </w:pPr>
            <w:r>
              <w:t xml:space="preserve">Senior Engineer ,</w:t>
            </w:r>
          </w:p>
        </w:tc>
        <w:tc>
          <w:tcPr/>
          <w:p>
            <w:pPr>
              <w:pStyle w:val="Compact"/>
              <w:jc w:val="left"/>
            </w:pPr>
            <w:r>
              <w:t xml:space="preserve">—</w:t>
            </w:r>
          </w:p>
        </w:tc>
        <w:tc>
          <w:tcPr/>
          <w:p>
            <w:pPr>
              <w:pStyle w:val="Compact"/>
            </w:pPr>
          </w:p>
        </w:tc>
      </w:tr>
      <w:tr>
        <w:tc>
          <w:tcPr/>
          <w:p>
            <w:pPr>
              <w:pStyle w:val="Compact"/>
              <w:jc w:val="left"/>
            </w:pPr>
            <w:r>
              <w:t xml:space="preserve">Millie Carrillo</w:t>
            </w:r>
          </w:p>
        </w:tc>
        <w:tc>
          <w:tcPr/>
          <w:p>
            <w:pPr>
              <w:pStyle w:val="Compact"/>
              <w:jc w:val="left"/>
            </w:pPr>
            <w:r>
              <w:t xml:space="preserve">Affiliate Manager ,</w:t>
            </w:r>
          </w:p>
        </w:tc>
        <w:tc>
          <w:tcPr/>
          <w:p>
            <w:pPr>
              <w:pStyle w:val="Compact"/>
              <w:jc w:val="left"/>
            </w:pPr>
            <w:r>
              <w:t xml:space="preserve">—</w:t>
            </w:r>
          </w:p>
        </w:tc>
        <w:tc>
          <w:tcPr/>
          <w:p>
            <w:pPr>
              <w:pStyle w:val="Compact"/>
            </w:pPr>
          </w:p>
        </w:tc>
      </w:tr>
      <w:tr>
        <w:tc>
          <w:tcPr/>
          <w:p>
            <w:pPr>
              <w:pStyle w:val="Compact"/>
              <w:jc w:val="left"/>
            </w:pPr>
            <w:r>
              <w:t xml:space="preserve">Thea Cartier</w:t>
            </w:r>
          </w:p>
        </w:tc>
        <w:tc>
          <w:tcPr/>
          <w:p>
            <w:pPr>
              <w:pStyle w:val="Compact"/>
              <w:jc w:val="left"/>
            </w:pPr>
            <w:r>
              <w:t xml:space="preserve">Social Media Manager ,</w:t>
            </w:r>
          </w:p>
        </w:tc>
        <w:tc>
          <w:tcPr/>
          <w:p>
            <w:pPr>
              <w:pStyle w:val="Compact"/>
              <w:jc w:val="left"/>
            </w:pPr>
            <w:r>
              <w:t xml:space="preserve">—</w:t>
            </w:r>
          </w:p>
        </w:tc>
        <w:tc>
          <w:tcPr/>
          <w:p>
            <w:pPr>
              <w:pStyle w:val="Compact"/>
            </w:pPr>
          </w:p>
        </w:tc>
      </w:tr>
    </w:tbl>
    <w:bookmarkStart w:id="33" w:name="funnel-ownership"/>
    <w:p>
      <w:pPr>
        <w:pStyle w:val="Heading2"/>
      </w:pPr>
      <w:r>
        <w:t xml:space="preserve">Funnel Ownership</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878"/>
        <w:tblLayout w:type="fixed"/>
        <w:tblLook w:firstRow="1" w:lastRow="0" w:firstColumn="0" w:lastColumn="0" w:noHBand="0" w:noVBand="0" w:val="0020"/>
      </w:tblPr>
      <w:tblGrid>
        <w:gridCol w:w="3090"/>
        <w:gridCol w:w="2318"/>
        <w:gridCol w:w="2318"/>
      </w:tblGrid>
      <w:tr>
        <w:trPr>
          <w:tblHeader w:val="on"/>
        </w:trPr>
        <w:tc>
          <w:tcPr/>
          <w:p>
            <w:pPr>
              <w:pStyle w:val="Compact"/>
              <w:jc w:val="left"/>
            </w:pPr>
            <w:r>
              <w:rPr>
                <w:b/>
                <w:bCs/>
              </w:rPr>
              <w:t xml:space="preserve">Funnel</w:t>
            </w:r>
          </w:p>
        </w:tc>
        <w:tc>
          <w:tcPr/>
          <w:p>
            <w:pPr>
              <w:pStyle w:val="Compact"/>
              <w:jc w:val="left"/>
            </w:pPr>
            <w:r>
              <w:rPr>
                <w:b/>
                <w:bCs/>
              </w:rPr>
              <w:t xml:space="preserve">Primary</w:t>
            </w:r>
          </w:p>
        </w:tc>
        <w:tc>
          <w:tcPr/>
          <w:p>
            <w:pPr>
              <w:pStyle w:val="Compact"/>
              <w:jc w:val="left"/>
            </w:pPr>
            <w:r>
              <w:rPr>
                <w:b/>
                <w:bCs/>
              </w:rPr>
              <w:t xml:space="preserve">Backup</w:t>
            </w:r>
          </w:p>
        </w:tc>
      </w:tr>
      <w:tr>
        <w:tc>
          <w:tcPr/>
          <w:p>
            <w:pPr>
              <w:pStyle w:val="Compact"/>
              <w:jc w:val="left"/>
            </w:pPr>
            <w:r>
              <w:t xml:space="preserve">Consumer</w:t>
            </w:r>
          </w:p>
        </w:tc>
        <w:tc>
          <w:tcPr/>
          <w:p>
            <w:pPr>
              <w:pStyle w:val="Compact"/>
              <w:jc w:val="left"/>
            </w:pPr>
            <w:r>
              <w:t xml:space="preserve">David</w:t>
            </w:r>
          </w:p>
        </w:tc>
        <w:tc>
          <w:tcPr/>
          <w:p>
            <w:pPr>
              <w:pStyle w:val="Compact"/>
              <w:jc w:val="left"/>
            </w:pPr>
            <w:r>
              <w:t xml:space="preserve">Scott</w:t>
            </w:r>
          </w:p>
        </w:tc>
      </w:tr>
      <w:tr>
        <w:tc>
          <w:tcPr/>
          <w:p>
            <w:pPr>
              <w:pStyle w:val="Compact"/>
              <w:jc w:val="left"/>
            </w:pPr>
            <w:r>
              <w:t xml:space="preserve">Commercial</w:t>
            </w:r>
          </w:p>
        </w:tc>
        <w:tc>
          <w:tcPr/>
          <w:p>
            <w:pPr>
              <w:pStyle w:val="Compact"/>
              <w:jc w:val="left"/>
            </w:pPr>
            <w:r>
              <w:t xml:space="preserve">David</w:t>
            </w:r>
          </w:p>
        </w:tc>
        <w:tc>
          <w:tcPr/>
          <w:p>
            <w:pPr>
              <w:pStyle w:val="Compact"/>
              <w:jc w:val="left"/>
            </w:pPr>
            <w:r>
              <w:t xml:space="preserve">Scott</w:t>
            </w:r>
          </w:p>
        </w:tc>
      </w:tr>
      <w:tr>
        <w:tc>
          <w:tcPr/>
          <w:p>
            <w:pPr>
              <w:pStyle w:val="Compact"/>
              <w:jc w:val="left"/>
            </w:pPr>
            <w:r>
              <w:t xml:space="preserve">Investor (Intro)</w:t>
            </w:r>
          </w:p>
        </w:tc>
        <w:tc>
          <w:tcPr/>
          <w:p>
            <w:pPr>
              <w:pStyle w:val="Compact"/>
              <w:jc w:val="left"/>
            </w:pPr>
            <w:r>
              <w:t xml:space="preserve">Scott</w:t>
            </w:r>
          </w:p>
        </w:tc>
        <w:tc>
          <w:tcPr/>
          <w:p>
            <w:pPr>
              <w:pStyle w:val="Compact"/>
              <w:jc w:val="left"/>
            </w:pPr>
            <w:r>
              <w:t xml:space="preserve">Scott</w:t>
            </w:r>
          </w:p>
        </w:tc>
      </w:tr>
      <w:tr>
        <w:tc>
          <w:tcPr/>
          <w:p>
            <w:pPr>
              <w:pStyle w:val="Compact"/>
              <w:jc w:val="left"/>
            </w:pPr>
            <w:r>
              <w:t xml:space="preserve">Investor (Presentation/Close)</w:t>
            </w:r>
          </w:p>
        </w:tc>
        <w:tc>
          <w:tcPr/>
          <w:p>
            <w:pPr>
              <w:pStyle w:val="Compact"/>
              <w:jc w:val="left"/>
            </w:pPr>
            <w:r>
              <w:t xml:space="preserve">Scott</w:t>
            </w:r>
          </w:p>
        </w:tc>
        <w:tc>
          <w:tcPr/>
          <w:p>
            <w:pPr>
              <w:pStyle w:val="Compact"/>
              <w:jc w:val="left"/>
            </w:pPr>
            <w:r>
              <w:t xml:space="preserve">David</w:t>
            </w:r>
          </w:p>
        </w:tc>
      </w:tr>
      <w:tr>
        <w:tc>
          <w:tcPr/>
          <w:p>
            <w:pPr>
              <w:pStyle w:val="Compact"/>
              <w:jc w:val="left"/>
            </w:pPr>
            <w:r>
              <w:t xml:space="preserve">Partner</w:t>
            </w:r>
          </w:p>
        </w:tc>
        <w:tc>
          <w:tcPr/>
          <w:p>
            <w:pPr>
              <w:pStyle w:val="Compact"/>
              <w:jc w:val="left"/>
            </w:pPr>
            <w:r>
              <w:t xml:space="preserve">Scott</w:t>
            </w:r>
          </w:p>
        </w:tc>
        <w:tc>
          <w:tcPr/>
          <w:p>
            <w:pPr>
              <w:pStyle w:val="Compact"/>
              <w:jc w:val="left"/>
            </w:pPr>
            <w:r>
              <w:t xml:space="preserve">—</w:t>
            </w:r>
          </w:p>
        </w:tc>
      </w:tr>
      <w:tr>
        <w:tc>
          <w:tcPr/>
          <w:p>
            <w:pPr>
              <w:pStyle w:val="Compact"/>
              <w:jc w:val="left"/>
            </w:pPr>
            <w:r>
              <w:t xml:space="preserve">Vendor</w:t>
            </w:r>
          </w:p>
        </w:tc>
        <w:tc>
          <w:tcPr/>
          <w:p>
            <w:pPr>
              <w:pStyle w:val="Compact"/>
              <w:jc w:val="left"/>
            </w:pPr>
            <w:r>
              <w:t xml:space="preserve">Scott</w:t>
            </w:r>
          </w:p>
        </w:tc>
        <w:tc>
          <w:tcPr/>
          <w:p>
            <w:pPr>
              <w:pStyle w:val="Compact"/>
              <w:jc w:val="left"/>
            </w:pPr>
            <w:r>
              <w:t xml:space="preserve">—</w:t>
            </w:r>
          </w:p>
        </w:tc>
      </w:tr>
      <w:tr>
        <w:tc>
          <w:tcPr/>
          <w:p>
            <w:pPr>
              <w:pStyle w:val="Compact"/>
              <w:jc w:val="left"/>
            </w:pPr>
            <w:r>
              <w:t xml:space="preserve">Onboarding</w:t>
            </w:r>
          </w:p>
        </w:tc>
        <w:tc>
          <w:tcPr/>
          <w:p>
            <w:pPr>
              <w:pStyle w:val="Compact"/>
              <w:jc w:val="left"/>
            </w:pPr>
            <w:r>
              <w:t xml:space="preserve">Scott</w:t>
            </w:r>
          </w:p>
        </w:tc>
        <w:tc>
          <w:tcPr/>
          <w:p>
            <w:pPr>
              <w:pStyle w:val="Compact"/>
              <w:jc w:val="left"/>
            </w:pPr>
            <w:r>
              <w:t xml:space="preserve">—</w:t>
            </w:r>
          </w:p>
        </w:tc>
      </w:tr>
    </w:tbl>
    <w:bookmarkEnd w:id="33"/>
    <w:bookmarkEnd w:id="34"/>
    <w:bookmarkStart w:id="42" w:name="section-8-ghl-contact-fields"/>
    <w:p>
      <w:pPr>
        <w:pStyle w:val="Heading1"/>
      </w:pPr>
      <w:r>
        <w:t xml:space="preserve">SECTION 8: GHL CONTACT FIELDS</w:t>
      </w:r>
    </w:p>
    <w:bookmarkStart w:id="35" w:name="folder-structure"/>
    <w:p>
      <w:pPr>
        <w:pStyle w:val="Heading2"/>
      </w:pPr>
      <w:r>
        <w:t xml:space="preserve">Folder Structure</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870"/>
        <w:tblLayout w:type="fixed"/>
        <w:tblLook w:firstRow="1" w:lastRow="0" w:firstColumn="0" w:lastColumn="0" w:noHBand="0" w:noVBand="0" w:val="0020"/>
      </w:tblPr>
      <w:tblGrid>
        <w:gridCol w:w="3702"/>
        <w:gridCol w:w="4011"/>
      </w:tblGrid>
      <w:tr>
        <w:trPr>
          <w:tblHeader w:val="on"/>
        </w:trPr>
        <w:tc>
          <w:tcPr/>
          <w:p>
            <w:pPr>
              <w:pStyle w:val="Compact"/>
              <w:jc w:val="left"/>
            </w:pPr>
            <w:r>
              <w:rPr>
                <w:b/>
                <w:bCs/>
              </w:rPr>
              <w:t xml:space="preserve">Folder</w:t>
            </w:r>
          </w:p>
        </w:tc>
        <w:tc>
          <w:tcPr/>
          <w:p>
            <w:pPr>
              <w:pStyle w:val="Compact"/>
              <w:jc w:val="left"/>
            </w:pPr>
            <w:r>
              <w:rPr>
                <w:b/>
                <w:bCs/>
              </w:rPr>
              <w:t xml:space="preserve">Fields</w:t>
            </w:r>
          </w:p>
        </w:tc>
      </w:tr>
      <w:tr>
        <w:tc>
          <w:tcPr/>
          <w:p>
            <w:pPr>
              <w:pStyle w:val="Compact"/>
              <w:jc w:val="left"/>
            </w:pPr>
            <w:r>
              <w:t xml:space="preserve">Universal</w:t>
            </w:r>
          </w:p>
        </w:tc>
        <w:tc>
          <w:tcPr/>
          <w:p>
            <w:pPr>
              <w:pStyle w:val="Compact"/>
              <w:jc w:val="left"/>
            </w:pPr>
            <w:r>
              <w:t xml:space="preserve">10 fields</w:t>
            </w:r>
          </w:p>
        </w:tc>
      </w:tr>
      <w:tr>
        <w:tc>
          <w:tcPr/>
          <w:p>
            <w:pPr>
              <w:pStyle w:val="Compact"/>
              <w:jc w:val="left"/>
            </w:pPr>
            <w:r>
              <w:t xml:space="preserve">Consumer</w:t>
            </w:r>
          </w:p>
        </w:tc>
        <w:tc>
          <w:tcPr/>
          <w:p>
            <w:pPr>
              <w:pStyle w:val="Compact"/>
              <w:jc w:val="left"/>
            </w:pPr>
            <w:r>
              <w:t xml:space="preserve">14 fields (incl. testimonial fields)</w:t>
            </w:r>
          </w:p>
        </w:tc>
      </w:tr>
      <w:tr>
        <w:tc>
          <w:tcPr/>
          <w:p>
            <w:pPr>
              <w:pStyle w:val="Compact"/>
              <w:jc w:val="left"/>
            </w:pPr>
            <w:r>
              <w:t xml:space="preserve">Commercial</w:t>
            </w:r>
          </w:p>
        </w:tc>
        <w:tc>
          <w:tcPr/>
          <w:p>
            <w:pPr>
              <w:pStyle w:val="Compact"/>
              <w:jc w:val="left"/>
            </w:pPr>
            <w:r>
              <w:t xml:space="preserve">8 fields</w:t>
            </w:r>
          </w:p>
        </w:tc>
      </w:tr>
      <w:tr>
        <w:tc>
          <w:tcPr/>
          <w:p>
            <w:pPr>
              <w:pStyle w:val="Compact"/>
              <w:jc w:val="left"/>
            </w:pPr>
            <w:r>
              <w:t xml:space="preserve">Investor</w:t>
            </w:r>
          </w:p>
        </w:tc>
        <w:tc>
          <w:tcPr/>
          <w:p>
            <w:pPr>
              <w:pStyle w:val="Compact"/>
              <w:jc w:val="left"/>
            </w:pPr>
            <w:r>
              <w:t xml:space="preserve">9 fields</w:t>
            </w:r>
          </w:p>
        </w:tc>
      </w:tr>
      <w:tr>
        <w:tc>
          <w:tcPr/>
          <w:p>
            <w:pPr>
              <w:pStyle w:val="Compact"/>
              <w:jc w:val="left"/>
            </w:pPr>
            <w:r>
              <w:t xml:space="preserve">Partner</w:t>
            </w:r>
          </w:p>
        </w:tc>
        <w:tc>
          <w:tcPr/>
          <w:p>
            <w:pPr>
              <w:pStyle w:val="Compact"/>
              <w:jc w:val="left"/>
            </w:pPr>
            <w:r>
              <w:t xml:space="preserve">8 fields</w:t>
            </w:r>
          </w:p>
        </w:tc>
      </w:tr>
      <w:tr>
        <w:tc>
          <w:tcPr/>
          <w:p>
            <w:pPr>
              <w:pStyle w:val="Compact"/>
              <w:jc w:val="left"/>
            </w:pPr>
            <w:r>
              <w:t xml:space="preserve">Vendor</w:t>
            </w:r>
          </w:p>
        </w:tc>
        <w:tc>
          <w:tcPr/>
          <w:p>
            <w:pPr>
              <w:pStyle w:val="Compact"/>
              <w:jc w:val="left"/>
            </w:pPr>
            <w:r>
              <w:t xml:space="preserve">7 fields</w:t>
            </w:r>
          </w:p>
        </w:tc>
      </w:tr>
    </w:tbl>
    <w:bookmarkEnd w:id="35"/>
    <w:bookmarkStart w:id="36" w:name="universal-fields"/>
    <w:p>
      <w:pPr>
        <w:pStyle w:val="Heading2"/>
      </w:pPr>
      <w:r>
        <w:t xml:space="preserve">Universal Fields</w:t>
      </w:r>
    </w:p>
    <w:p>
      <w:pPr>
        <w:pStyle w:val="FirstParagraph"/>
      </w:pPr>
      <w:r>
        <w:t xml:space="preserve">Client Type (dropdown), Funnel Stage (dropdown), Assigned Agent (text), Last Agent Touch (date, Sentinel monitors &gt;5 days), Lead Score (0-100 auto), Qualification Status (dropdown), Communication Preference (dropdown), Compliance Reviewed (dropdown), How Heard Specific (text), Referral Source Contact ID (text).</w:t>
      </w:r>
    </w:p>
    <w:bookmarkEnd w:id="36"/>
    <w:bookmarkStart w:id="37" w:name="consumer-fields"/>
    <w:p>
      <w:pPr>
        <w:pStyle w:val="Heading2"/>
      </w:pPr>
      <w:r>
        <w:t xml:space="preserve">Consumer Fields</w:t>
      </w:r>
    </w:p>
    <w:p>
      <w:pPr>
        <w:pStyle w:val="FirstParagraph"/>
      </w:pPr>
      <w:r>
        <w:t xml:space="preserve">Vitamin D Deficient Self Reported, Current Solution, Health Goal, Skin Type Fitzpatrick (I-VI), Finance Preference (Cash/Financing/Installment/Rent/Not Sure), Use Case, How Heard Podcast, Unit Order Date, Unit Ship Date, Sessions Completed, Time Using Enyrgy, Results Noticed, Would Recommend, Marketing Permission.</w:t>
      </w:r>
    </w:p>
    <w:bookmarkEnd w:id="37"/>
    <w:bookmarkStart w:id="38" w:name="commercial-fields"/>
    <w:p>
      <w:pPr>
        <w:pStyle w:val="Heading2"/>
      </w:pPr>
      <w:r>
        <w:t xml:space="preserve">Commercial Fields</w:t>
      </w:r>
    </w:p>
    <w:p>
      <w:pPr>
        <w:pStyle w:val="FirstParagraph"/>
      </w:pPr>
      <w:r>
        <w:t xml:space="preserve">Business Type, Number of Locations, Current Wellness Offerings, Decision Maker Name, Estimated Units Needed, Estimated Deal Value, Has Seen Demo, ROI Model Sent.</w:t>
      </w:r>
    </w:p>
    <w:bookmarkEnd w:id="38"/>
    <w:bookmarkStart w:id="39" w:name="investor-fields"/>
    <w:p>
      <w:pPr>
        <w:pStyle w:val="Heading2"/>
      </w:pPr>
      <w:r>
        <w:t xml:space="preserve">Investor Fields</w:t>
      </w:r>
    </w:p>
    <w:p>
      <w:pPr>
        <w:pStyle w:val="FirstParagraph"/>
      </w:pPr>
      <w:r>
        <w:t xml:space="preserve">Investor Type, Accredited Verified (COMPLIANCE GATE), Minimum Investment Amount, Investment Structure Preference (Debt/Equity/Convertible/SAFE/Not Sure), Target Return, Has Received PPM, Investment Timeline, Amount Committed, Amount Funded.</w:t>
      </w:r>
    </w:p>
    <w:bookmarkEnd w:id="39"/>
    <w:bookmarkStart w:id="40" w:name="partner-fields"/>
    <w:p>
      <w:pPr>
        <w:pStyle w:val="Heading2"/>
      </w:pPr>
      <w:r>
        <w:t xml:space="preserve">Partner Fields</w:t>
      </w:r>
    </w:p>
    <w:p>
      <w:pPr>
        <w:pStyle w:val="FirstParagraph"/>
      </w:pPr>
      <w:r>
        <w:t xml:space="preserve">Partnership Model, Partnership Status, Distribution Reach, Territory, NDA Signed, LOI Signed, Contract Expiry, Monthly Units Capacity.</w:t>
      </w:r>
    </w:p>
    <w:bookmarkEnd w:id="40"/>
    <w:bookmarkStart w:id="41" w:name="vendor-fields"/>
    <w:p>
      <w:pPr>
        <w:pStyle w:val="Heading2"/>
      </w:pPr>
      <w:r>
        <w:t xml:space="preserve">Vendor Fields</w:t>
      </w:r>
    </w:p>
    <w:p>
      <w:pPr>
        <w:pStyle w:val="FirstParagraph"/>
      </w:pPr>
      <w:r>
        <w:t xml:space="preserve">Vendor Category, Vendor Status, Contract On File, Vendor Contract Expiry, Monthly Spend, Primary Contact Name, Vendor Notes.</w:t>
      </w:r>
    </w:p>
    <w:bookmarkEnd w:id="41"/>
    <w:bookmarkEnd w:id="42"/>
    <w:bookmarkStart w:id="43" w:name="section-9-tag-taxonomy"/>
    <w:p>
      <w:pPr>
        <w:pStyle w:val="Heading1"/>
      </w:pPr>
      <w:r>
        <w:t xml:space="preserve">SECTION 9: TAG TAXONOMY</w:t>
      </w:r>
    </w:p>
    <w:p>
      <w:pPr>
        <w:pStyle w:val="FirstParagraph"/>
      </w:pPr>
      <w:r>
        <w:t xml:space="preserve">Convention: category_value (lowercase, underscores).</w:t>
      </w:r>
    </w:p>
    <w:p>
      <w:pPr>
        <w:numPr>
          <w:ilvl w:val="0"/>
          <w:numId w:val="1005"/>
        </w:numPr>
      </w:pPr>
      <w:r>
        <w:rPr>
          <w:b/>
          <w:bCs/>
        </w:rPr>
        <w:t xml:space="preserve">Funnel Type:</w:t>
      </w:r>
      <w:r>
        <w:t xml:space="preserve"> </w:t>
      </w:r>
      <w:r>
        <w:t xml:space="preserve">type_consumer · type_commercial · type_investor · type_partner · type_vendor</w:t>
      </w:r>
    </w:p>
    <w:p>
      <w:pPr>
        <w:numPr>
          <w:ilvl w:val="0"/>
          <w:numId w:val="1005"/>
        </w:numPr>
      </w:pPr>
      <w:r>
        <w:rPr>
          <w:b/>
          <w:bCs/>
        </w:rPr>
        <w:t xml:space="preserve">Lead Status:</w:t>
      </w:r>
      <w:r>
        <w:t xml:space="preserve"> </w:t>
      </w:r>
      <w:r>
        <w:t xml:space="preserve">status_new · status_in_drip · status_engaged · status_qualified · status_demo_scheduled · status_demo_done · status_proposal_sent · status_negotiating · status_won · status_lost · status_cold · status_disqualified · status_reactivation</w:t>
      </w:r>
    </w:p>
    <w:p>
      <w:pPr>
        <w:numPr>
          <w:ilvl w:val="0"/>
          <w:numId w:val="1005"/>
        </w:numPr>
      </w:pPr>
      <w:r>
        <w:rPr>
          <w:b/>
          <w:bCs/>
        </w:rPr>
        <w:t xml:space="preserve">Lead Source:</w:t>
      </w:r>
      <w:r>
        <w:t xml:space="preserve"> </w:t>
      </w:r>
      <w:r>
        <w:t xml:space="preserve">source_podcast · source_referral · source_website · source_linkedin · source_cold_email · source_event · source_oem_lumanova · source_oem_partner · source_instagram · source_facebook · source_google_ad · source_meta_ad · source_trade_show · source_clinical_advisor · source_reactivation · source_partner_referral · source_word_of_mouth · source_angel_list · source_lead_magnet</w:t>
      </w:r>
    </w:p>
    <w:p>
      <w:pPr>
        <w:numPr>
          <w:ilvl w:val="0"/>
          <w:numId w:val="1005"/>
        </w:numPr>
      </w:pPr>
      <w:r>
        <w:rPr>
          <w:b/>
          <w:bCs/>
        </w:rPr>
        <w:t xml:space="preserve">Drip Campaign:</w:t>
      </w:r>
      <w:r>
        <w:t xml:space="preserve"> </w:t>
      </w:r>
      <w:r>
        <w:t xml:space="preserve">drip_consumer_active · drip_consumer_complete · drip_commercial_active · drip_commercial_complete · drip_investor_active · drip_investor_complete · drip_partner_active · drip_partner_complete</w:t>
      </w:r>
    </w:p>
    <w:p>
      <w:pPr>
        <w:numPr>
          <w:ilvl w:val="0"/>
          <w:numId w:val="1005"/>
        </w:numPr>
      </w:pPr>
      <w:r>
        <w:rPr>
          <w:b/>
          <w:bCs/>
        </w:rPr>
        <w:t xml:space="preserve">Product &amp; Health Goal:</w:t>
      </w:r>
      <w:r>
        <w:t xml:space="preserve"> </w:t>
      </w:r>
      <w:r>
        <w:t xml:space="preserve">product_consumer_unit · product_commercial_unit · product_oem · goal_vitamin_d · goal_mood_sleep · goal_cardiovascular · goal_athletic_performance · goal_longevity · goal_seasonal_depression · goal_general_wellness · goal_multiple</w:t>
      </w:r>
    </w:p>
    <w:p>
      <w:pPr>
        <w:numPr>
          <w:ilvl w:val="0"/>
          <w:numId w:val="1005"/>
        </w:numPr>
      </w:pPr>
      <w:r>
        <w:rPr>
          <w:b/>
          <w:bCs/>
        </w:rPr>
        <w:t xml:space="preserve">Agent Assignment:</w:t>
      </w:r>
      <w:r>
        <w:t xml:space="preserve"> </w:t>
      </w:r>
      <w:r>
        <w:t xml:space="preserve">agent_dispatcher · agent_sales_scout · agent_outreach · agent_sdr · agent_onboarding · agent_csm · agent_reactivation · escalated_human</w:t>
      </w:r>
    </w:p>
    <w:p>
      <w:pPr>
        <w:numPr>
          <w:ilvl w:val="0"/>
          <w:numId w:val="1005"/>
        </w:numPr>
      </w:pPr>
      <w:r>
        <w:rPr>
          <w:b/>
          <w:bCs/>
        </w:rPr>
        <w:t xml:space="preserve">Lead Magnet:</w:t>
      </w:r>
      <w:r>
        <w:t xml:space="preserve"> </w:t>
      </w:r>
      <w:r>
        <w:t xml:space="preserve">source_lead_magnet · magnet_lead · magnet_recovery_protocol · magnet_synthesis_gap · high_deficiency_risk · moderate_deficiency_risk · cart_abandoned · sms_consent_given</w:t>
      </w:r>
    </w:p>
    <w:p>
      <w:pPr>
        <w:numPr>
          <w:ilvl w:val="0"/>
          <w:numId w:val="1005"/>
        </w:numPr>
      </w:pPr>
      <w:r>
        <w:rPr>
          <w:b/>
          <w:bCs/>
        </w:rPr>
        <w:t xml:space="preserve">ICP (consumer funnel):</w:t>
      </w:r>
      <w:r>
        <w:t xml:space="preserve"> </w:t>
      </w:r>
      <w:r>
        <w:t xml:space="preserve">icp_stack_optimizer · icp_athlete · icp_energy_sleep · icp_sad</w:t>
      </w:r>
    </w:p>
    <w:p>
      <w:pPr>
        <w:numPr>
          <w:ilvl w:val="0"/>
          <w:numId w:val="1005"/>
        </w:numPr>
      </w:pPr>
      <w:r>
        <w:rPr>
          <w:b/>
          <w:bCs/>
        </w:rPr>
        <w:t xml:space="preserve">Lifecycle &amp; Compliance:</w:t>
      </w:r>
      <w:r>
        <w:t xml:space="preserve"> </w:t>
      </w:r>
      <w:r>
        <w:t xml:space="preserve">unit_ordered · unit_shipped · unit_activated · sessions_10_complete · review_requested · review_given · referral_given · referral_rewarded · contract_sent · contract_signed · nda_signed · loi_signed · accredited_verified · ppm_sent · investment_committed · investment_funded · do_not_contact · compliance_reviewed · medical_claim_risk · requires_human_review · reactivation_sequence · unsubscribed · vip · ambassador · investor_warm ·</w:t>
      </w:r>
      <w:r>
        <w:t xml:space="preserve"> </w:t>
      </w:r>
      <w:r>
        <w:rPr>
          <w:b/>
          <w:bCs/>
        </w:rPr>
        <w:t xml:space="preserve">drip_bypass</w:t>
      </w:r>
      <w:r>
        <w:t xml:space="preserve"> </w:t>
      </w:r>
      <w:r>
        <w:t xml:space="preserve">·</w:t>
      </w:r>
      <w:r>
        <w:t xml:space="preserve"> </w:t>
      </w:r>
      <w:r>
        <w:rPr>
          <w:b/>
          <w:bCs/>
        </w:rPr>
        <w:t xml:space="preserve">no_route</w:t>
      </w:r>
      <w:r>
        <w:t xml:space="preserve"> </w:t>
      </w:r>
      <w:r>
        <w:t xml:space="preserve">·</w:t>
      </w:r>
      <w:r>
        <w:t xml:space="preserve"> </w:t>
      </w:r>
      <w:r>
        <w:rPr>
          <w:b/>
          <w:bCs/>
        </w:rPr>
        <w:t xml:space="preserve">source_device_app</w:t>
      </w:r>
    </w:p>
    <w:bookmarkEnd w:id="43"/>
    <w:bookmarkStart w:id="44" w:name="section-10-pipelines"/>
    <w:p>
      <w:pPr>
        <w:pStyle w:val="Heading1"/>
      </w:pPr>
      <w:r>
        <w:t xml:space="preserve">SECTION 10: PIPELINES</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57"/>
        <w:tblLayout w:type="fixed"/>
        <w:tblLook w:firstRow="1" w:lastRow="0" w:firstColumn="0" w:lastColumn="0" w:noHBand="0" w:noVBand="0" w:val="0020"/>
      </w:tblPr>
      <w:tblGrid>
        <w:gridCol w:w="1234"/>
        <w:gridCol w:w="6617"/>
      </w:tblGrid>
      <w:tr>
        <w:trPr>
          <w:tblHeader w:val="on"/>
        </w:trPr>
        <w:tc>
          <w:tcPr/>
          <w:p>
            <w:pPr>
              <w:pStyle w:val="Compact"/>
              <w:jc w:val="left"/>
            </w:pPr>
            <w:r>
              <w:rPr>
                <w:b/>
                <w:bCs/>
              </w:rPr>
              <w:t xml:space="preserve">Pipeline</w:t>
            </w:r>
          </w:p>
        </w:tc>
        <w:tc>
          <w:tcPr/>
          <w:p>
            <w:pPr>
              <w:pStyle w:val="Compact"/>
              <w:jc w:val="left"/>
            </w:pPr>
            <w:r>
              <w:rPr>
                <w:b/>
                <w:bCs/>
              </w:rPr>
              <w:t xml:space="preserve">Stages</w:t>
            </w:r>
          </w:p>
        </w:tc>
      </w:tr>
      <w:tr>
        <w:tc>
          <w:tcPr/>
          <w:p>
            <w:pPr>
              <w:pStyle w:val="Compact"/>
              <w:jc w:val="left"/>
            </w:pPr>
            <w:r>
              <w:t xml:space="preserve">1 Consumer ($2,995) N</w:t>
            </w:r>
          </w:p>
        </w:tc>
        <w:tc>
          <w:tcPr/>
          <w:p>
            <w:pPr>
              <w:pStyle w:val="Compact"/>
              <w:jc w:val="left"/>
            </w:pPr>
            <w:r>
              <w:t xml:space="preserve">ew Lead -&gt; Website Visit -&gt; Drip Active -&gt; Discovery Call -&gt; Demo Education -&gt; Order Financing -&gt; Ordered -&gt; Unit Shipped -&gt; User Activated -&gt; Active Customer</w:t>
            </w:r>
          </w:p>
        </w:tc>
      </w:tr>
      <w:tr>
        <w:tc>
          <w:tcPr/>
          <w:p>
            <w:pPr>
              <w:pStyle w:val="Compact"/>
              <w:jc w:val="left"/>
            </w:pPr>
            <w:r>
              <w:t xml:space="preserve">2 Commercial ($8,950/unit) P</w:t>
            </w:r>
          </w:p>
        </w:tc>
        <w:tc>
          <w:tcPr/>
          <w:p>
            <w:pPr>
              <w:pStyle w:val="Compact"/>
              <w:jc w:val="left"/>
            </w:pPr>
            <w:r>
              <w:t xml:space="preserve">rospect -&gt; Drip Active -&gt; Discovery -&gt; Demo -&gt; Proposal -&gt; Negotiation -&gt; Contract Signed -&gt; Unit Shipped -&gt; User Activated -&gt; Installation -&gt; Training Scheduled -&gt; Training Complete -&gt; Active Customer</w:t>
            </w:r>
          </w:p>
        </w:tc>
      </w:tr>
      <w:tr>
        <w:tc>
          <w:tcPr/>
          <w:p>
            <w:pPr>
              <w:pStyle w:val="Compact"/>
              <w:jc w:val="left"/>
            </w:pPr>
            <w:r>
              <w:t xml:space="preserve">3 Investor ($3.5M Raise) I</w:t>
            </w:r>
          </w:p>
        </w:tc>
        <w:tc>
          <w:tcPr/>
          <w:p>
            <w:pPr>
              <w:pStyle w:val="Compact"/>
              <w:jc w:val="left"/>
            </w:pPr>
            <w:r>
              <w:t xml:space="preserve">dentified -&gt; Drip Active -&gt; Intro Meeting -&gt; Accreditation -&gt; Due Diligence -&gt; Commitment -&gt; Legal and Close -&gt; Active Investor</w:t>
            </w:r>
          </w:p>
        </w:tc>
      </w:tr>
      <w:tr>
        <w:tc>
          <w:tcPr/>
          <w:p>
            <w:pPr>
              <w:pStyle w:val="Compact"/>
              <w:jc w:val="left"/>
            </w:pPr>
            <w:r>
              <w:t xml:space="preserve">4 Partner</w:t>
            </w:r>
          </w:p>
        </w:tc>
        <w:tc>
          <w:tcPr/>
          <w:p>
            <w:pPr>
              <w:pStyle w:val="Compact"/>
              <w:jc w:val="left"/>
            </w:pPr>
            <w:r>
              <w:t xml:space="preserve">Identified -&gt; Drip Active -&gt; Exploratory -&gt; NDA Discovery -&gt; LOI Stage -&gt; Vetting -&gt; Contract -&gt; Active Partner</w:t>
            </w:r>
          </w:p>
        </w:tc>
      </w:tr>
      <w:tr>
        <w:tc>
          <w:tcPr/>
          <w:p>
            <w:pPr>
              <w:pStyle w:val="Compact"/>
              <w:jc w:val="left"/>
            </w:pPr>
            <w:r>
              <w:t xml:space="preserve">5 Vendor</w:t>
            </w:r>
          </w:p>
        </w:tc>
        <w:tc>
          <w:tcPr/>
          <w:p>
            <w:pPr>
              <w:pStyle w:val="Compact"/>
              <w:jc w:val="left"/>
            </w:pPr>
            <w:r>
              <w:t xml:space="preserve">Prospect -&gt; Vetting -&gt; Contract Sent -&gt; Contract Signed -&gt; Active -&gt; Preferred -&gt; Inactive</w:t>
            </w:r>
          </w:p>
        </w:tc>
      </w:tr>
    </w:tbl>
    <w:bookmarkEnd w:id="44"/>
    <w:bookmarkStart w:id="50" w:name="section-11-drip-campaigns"/>
    <w:p>
      <w:pPr>
        <w:pStyle w:val="Heading1"/>
      </w:pPr>
      <w:r>
        <w:t xml:space="preserve">SECTION 11: DRIP CAMPAIGNS</w:t>
      </w:r>
    </w:p>
    <w:bookmarkStart w:id="45" w:name="campaign-overview"/>
    <w:p>
      <w:pPr>
        <w:pStyle w:val="Heading2"/>
      </w:pPr>
      <w:r>
        <w:t xml:space="preserve">Campaign Overview</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08"/>
        <w:tblLayout w:type="fixed"/>
        <w:tblLook w:firstRow="1" w:lastRow="0" w:firstColumn="0" w:lastColumn="0" w:noHBand="0" w:noVBand="0" w:val="0020"/>
      </w:tblPr>
      <w:tblGrid>
        <w:gridCol w:w="1816"/>
        <w:gridCol w:w="1017"/>
        <w:gridCol w:w="1089"/>
        <w:gridCol w:w="1307"/>
        <w:gridCol w:w="2543"/>
      </w:tblGrid>
      <w:tr>
        <w:trPr>
          <w:tblHeader w:val="on"/>
        </w:trPr>
        <w:tc>
          <w:tcPr/>
          <w:p>
            <w:pPr>
              <w:pStyle w:val="Compact"/>
              <w:jc w:val="left"/>
            </w:pPr>
            <w:r>
              <w:rPr>
                <w:b/>
                <w:bCs/>
              </w:rPr>
              <w:t xml:space="preserve">Campaign</w:t>
            </w:r>
          </w:p>
        </w:tc>
        <w:tc>
          <w:tcPr/>
          <w:p>
            <w:pPr>
              <w:pStyle w:val="Compact"/>
              <w:jc w:val="left"/>
            </w:pPr>
            <w:r>
              <w:rPr>
                <w:b/>
                <w:bCs/>
              </w:rPr>
              <w:t xml:space="preserve">Touches</w:t>
            </w:r>
          </w:p>
        </w:tc>
        <w:tc>
          <w:tcPr/>
          <w:p>
            <w:pPr>
              <w:pStyle w:val="Compact"/>
              <w:jc w:val="left"/>
            </w:pPr>
            <w:r>
              <w:rPr>
                <w:b/>
                <w:bCs/>
              </w:rPr>
              <w:t xml:space="preserve">Duration</w:t>
            </w:r>
          </w:p>
        </w:tc>
        <w:tc>
          <w:tcPr/>
          <w:p>
            <w:pPr>
              <w:pStyle w:val="Compact"/>
              <w:jc w:val="left"/>
            </w:pPr>
            <w:r>
              <w:rPr>
                <w:b/>
                <w:bCs/>
              </w:rPr>
              <w:t xml:space="preserve">Trigger Tag</w:t>
            </w:r>
          </w:p>
        </w:tc>
        <w:tc>
          <w:tcPr/>
          <w:p>
            <w:pPr>
              <w:pStyle w:val="Compact"/>
              <w:jc w:val="left"/>
            </w:pPr>
            <w:r>
              <w:rPr>
                <w:b/>
                <w:bCs/>
              </w:rPr>
              <w:t xml:space="preserve">Status</w:t>
            </w:r>
          </w:p>
        </w:tc>
      </w:tr>
      <w:tr>
        <w:tc>
          <w:tcPr/>
          <w:p>
            <w:pPr>
              <w:pStyle w:val="Compact"/>
              <w:jc w:val="left"/>
            </w:pPr>
            <w:r>
              <w:t xml:space="preserve">Investor Drip, Cold</w:t>
            </w:r>
          </w:p>
        </w:tc>
        <w:tc>
          <w:tcPr/>
          <w:p>
            <w:pPr>
              <w:pStyle w:val="Compact"/>
              <w:jc w:val="left"/>
            </w:pPr>
            <w:r>
              <w:t xml:space="preserve">7</w:t>
            </w:r>
          </w:p>
        </w:tc>
        <w:tc>
          <w:tcPr/>
          <w:p>
            <w:pPr>
              <w:pStyle w:val="Compact"/>
              <w:jc w:val="left"/>
            </w:pPr>
            <w:r>
              <w:t xml:space="preserve">30 days</w:t>
            </w:r>
          </w:p>
        </w:tc>
        <w:tc>
          <w:tcPr/>
          <w:p>
            <w:pPr>
              <w:pStyle w:val="Compact"/>
              <w:jc w:val="left"/>
            </w:pPr>
            <w:r>
              <w:t xml:space="preserve">type_investor</w:t>
            </w:r>
          </w:p>
        </w:tc>
        <w:tc>
          <w:tcPr/>
          <w:p>
            <w:pPr>
              <w:pStyle w:val="Compact"/>
              <w:jc w:val="left"/>
            </w:pPr>
            <w:r>
              <w:t xml:space="preserve">Published</w:t>
            </w:r>
          </w:p>
        </w:tc>
      </w:tr>
      <w:tr>
        <w:tc>
          <w:tcPr/>
          <w:p>
            <w:pPr>
              <w:pStyle w:val="Compact"/>
              <w:jc w:val="left"/>
            </w:pPr>
            <w:r>
              <w:t xml:space="preserve">Investor Warm Sequence</w:t>
            </w:r>
          </w:p>
        </w:tc>
        <w:tc>
          <w:tcPr/>
          <w:p>
            <w:pPr>
              <w:pStyle w:val="Compact"/>
              <w:jc w:val="left"/>
            </w:pPr>
            <w:r>
              <w:t xml:space="preserve">3</w:t>
            </w:r>
          </w:p>
        </w:tc>
        <w:tc>
          <w:tcPr/>
          <w:p>
            <w:pPr>
              <w:pStyle w:val="Compact"/>
              <w:jc w:val="left"/>
            </w:pPr>
            <w:r>
              <w:t xml:space="preserve">7 days</w:t>
            </w:r>
          </w:p>
        </w:tc>
        <w:tc>
          <w:tcPr/>
          <w:p>
            <w:pPr>
              <w:pStyle w:val="Compact"/>
              <w:jc w:val="left"/>
            </w:pPr>
            <w:r>
              <w:t xml:space="preserve">investor_warm</w:t>
            </w:r>
          </w:p>
        </w:tc>
        <w:tc>
          <w:tcPr/>
          <w:p>
            <w:pPr>
              <w:pStyle w:val="Compact"/>
              <w:jc w:val="left"/>
            </w:pPr>
            <w:r>
              <w:t xml:space="preserve">Published</w:t>
            </w:r>
          </w:p>
        </w:tc>
      </w:tr>
      <w:tr>
        <w:tc>
          <w:tcPr/>
          <w:p>
            <w:pPr>
              <w:pStyle w:val="Compact"/>
              <w:jc w:val="left"/>
            </w:pPr>
            <w:r>
              <w:t xml:space="preserve">Consumer Drip</w:t>
            </w:r>
          </w:p>
        </w:tc>
        <w:tc>
          <w:tcPr/>
          <w:p>
            <w:pPr>
              <w:pStyle w:val="Compact"/>
              <w:jc w:val="left"/>
            </w:pPr>
            <w:r>
              <w:t xml:space="preserve">12</w:t>
            </w:r>
          </w:p>
        </w:tc>
        <w:tc>
          <w:tcPr/>
          <w:p>
            <w:pPr>
              <w:pStyle w:val="Compact"/>
              <w:jc w:val="left"/>
            </w:pPr>
            <w:r>
              <w:t xml:space="preserve">21 days</w:t>
            </w:r>
          </w:p>
        </w:tc>
        <w:tc>
          <w:tcPr/>
          <w:p>
            <w:pPr>
              <w:pStyle w:val="Compact"/>
              <w:jc w:val="left"/>
            </w:pPr>
            <w:r>
              <w:t xml:space="preserve">type_consumer</w:t>
            </w:r>
          </w:p>
        </w:tc>
        <w:tc>
          <w:tcPr/>
          <w:p>
            <w:pPr>
              <w:pStyle w:val="Compact"/>
              <w:jc w:val="left"/>
            </w:pPr>
            <w:r>
              <w:t xml:space="preserve">Published (now gated, see below)</w:t>
            </w:r>
          </w:p>
        </w:tc>
      </w:tr>
      <w:tr>
        <w:tc>
          <w:tcPr/>
          <w:p>
            <w:pPr>
              <w:pStyle w:val="Compact"/>
              <w:jc w:val="left"/>
            </w:pPr>
            <w:r>
              <w:t xml:space="preserve">Commercial Drip</w:t>
            </w:r>
          </w:p>
        </w:tc>
        <w:tc>
          <w:tcPr/>
          <w:p>
            <w:pPr>
              <w:pStyle w:val="Compact"/>
              <w:jc w:val="left"/>
            </w:pPr>
            <w:r>
              <w:t xml:space="preserve">10</w:t>
            </w:r>
          </w:p>
        </w:tc>
        <w:tc>
          <w:tcPr/>
          <w:p>
            <w:pPr>
              <w:pStyle w:val="Compact"/>
              <w:jc w:val="left"/>
            </w:pPr>
            <w:r>
              <w:t xml:space="preserve">28 days</w:t>
            </w:r>
          </w:p>
        </w:tc>
        <w:tc>
          <w:tcPr/>
          <w:p>
            <w:pPr>
              <w:pStyle w:val="Compact"/>
              <w:jc w:val="left"/>
            </w:pPr>
            <w:r>
              <w:t xml:space="preserve">type_commercial</w:t>
            </w:r>
          </w:p>
        </w:tc>
        <w:tc>
          <w:tcPr/>
          <w:p>
            <w:pPr>
              <w:pStyle w:val="Compact"/>
              <w:jc w:val="left"/>
            </w:pPr>
            <w:r>
              <w:t xml:space="preserve">Published</w:t>
            </w:r>
          </w:p>
        </w:tc>
      </w:tr>
      <w:tr>
        <w:tc>
          <w:tcPr/>
          <w:p>
            <w:pPr>
              <w:pStyle w:val="Compact"/>
              <w:jc w:val="left"/>
            </w:pPr>
            <w:r>
              <w:t xml:space="preserve">Partner Drip</w:t>
            </w:r>
          </w:p>
        </w:tc>
        <w:tc>
          <w:tcPr/>
          <w:p>
            <w:pPr>
              <w:pStyle w:val="Compact"/>
              <w:jc w:val="left"/>
            </w:pPr>
            <w:r>
              <w:t xml:space="preserve">9</w:t>
            </w:r>
          </w:p>
        </w:tc>
        <w:tc>
          <w:tcPr/>
          <w:p>
            <w:pPr>
              <w:pStyle w:val="Compact"/>
              <w:jc w:val="left"/>
            </w:pPr>
            <w:r>
              <w:t xml:space="preserve">35 days</w:t>
            </w:r>
          </w:p>
        </w:tc>
        <w:tc>
          <w:tcPr/>
          <w:p>
            <w:pPr>
              <w:pStyle w:val="Compact"/>
              <w:jc w:val="left"/>
            </w:pPr>
            <w:r>
              <w:t xml:space="preserve">type_partner</w:t>
            </w:r>
          </w:p>
        </w:tc>
        <w:tc>
          <w:tcPr/>
          <w:p>
            <w:pPr>
              <w:pStyle w:val="Compact"/>
              <w:jc w:val="left"/>
            </w:pPr>
            <w:r>
              <w:t xml:space="preserve">Published</w:t>
            </w:r>
          </w:p>
        </w:tc>
      </w:tr>
    </w:tbl>
    <w:bookmarkEnd w:id="45"/>
    <w:bookmarkStart w:id="46" w:name="bypass-logic"/>
    <w:p>
      <w:pPr>
        <w:pStyle w:val="Heading2"/>
      </w:pPr>
      <w:r>
        <w:t xml:space="preserve">Bypass Logic</w:t>
      </w:r>
    </w:p>
    <w:p>
      <w:pPr>
        <w:pStyle w:val="FirstParagraph"/>
      </w:pPr>
      <w:r>
        <w:rPr>
          <w:b/>
          <w:bCs/>
        </w:rPr>
        <w:t xml:space="preserve">Two different switches. Do not confuse them, this has caused confusion once already.</w:t>
      </w:r>
    </w:p>
    <w:p>
      <w:pPr>
        <w:numPr>
          <w:ilvl w:val="0"/>
          <w:numId w:val="1006"/>
        </w:numPr>
      </w:pPr>
      <w:r>
        <w:rPr>
          <w:rStyle w:val="VerbatimChar"/>
          <w:b/>
          <w:bCs/>
        </w:rPr>
        <w:t xml:space="preserve">drip_bypass</w:t>
      </w:r>
      <w:r>
        <w:rPr>
          <w:b/>
          <w:bCs/>
        </w:rPr>
        <w:t xml:space="preserve"> </w:t>
      </w:r>
      <w:r>
        <w:rPr>
          <w:b/>
          <w:bCs/>
        </w:rPr>
        <w:t xml:space="preserve">stops DRIPS, not routing.</w:t>
      </w:r>
      <w:r>
        <w:t xml:space="preserve"> </w:t>
      </w:r>
      <w:r>
        <w:t xml:space="preserve">It is read at the Bypass Check that opens each of the five drips. WF-01 New Lead Router does not check it, so a contact carrying</w:t>
      </w:r>
      <w:r>
        <w:t xml:space="preserve"> </w:t>
      </w:r>
      <w:r>
        <w:rPr>
          <w:rStyle w:val="VerbatimChar"/>
        </w:rPr>
        <w:t xml:space="preserve">drip_bypass</w:t>
      </w:r>
      <w:r>
        <w:t xml:space="preserve"> </w:t>
      </w:r>
      <w:r>
        <w:t xml:space="preserve">is still routed and still receives</w:t>
      </w:r>
      <w:r>
        <w:t xml:space="preserve"> </w:t>
      </w:r>
      <w:r>
        <w:rPr>
          <w:rStyle w:val="VerbatimChar"/>
        </w:rPr>
        <w:t xml:space="preserve">type_consumer</w:t>
      </w:r>
      <w:r>
        <w:t xml:space="preserve">.</w:t>
      </w:r>
    </w:p>
    <w:p>
      <w:pPr>
        <w:numPr>
          <w:ilvl w:val="0"/>
          <w:numId w:val="1006"/>
        </w:numPr>
      </w:pPr>
      <w:r>
        <w:rPr>
          <w:rStyle w:val="VerbatimChar"/>
          <w:b/>
          <w:bCs/>
        </w:rPr>
        <w:t xml:space="preserve">no_route</w:t>
      </w:r>
      <w:r>
        <w:rPr>
          <w:b/>
          <w:bCs/>
        </w:rPr>
        <w:t xml:space="preserve"> </w:t>
      </w:r>
      <w:r>
        <w:rPr>
          <w:b/>
          <w:bCs/>
        </w:rPr>
        <w:t xml:space="preserve">stops WF-01 (added August 4, 2026).</w:t>
      </w:r>
      <w:r>
        <w:t xml:space="preserve"> </w:t>
      </w:r>
      <w:r>
        <w:t xml:space="preserve">It is the permanent off-switch for imports, tests, staff on other domains, and partners. It replaces the old practice of unpublishing WF-01 during an import and remembering to republish it, which was itself a hazard: a silently unpublished router stops routing everything with nothing erroring.</w:t>
      </w:r>
    </w:p>
    <w:p>
      <w:pPr>
        <w:numPr>
          <w:ilvl w:val="0"/>
          <w:numId w:val="1006"/>
        </w:numPr>
      </w:pPr>
      <w:r>
        <w:t xml:space="preserve">Apply drip_bypass + investor_warm to skip cold drip and enroll in the warm sequence.</w:t>
      </w:r>
    </w:p>
    <w:p>
      <w:pPr>
        <w:numPr>
          <w:ilvl w:val="0"/>
          <w:numId w:val="1006"/>
        </w:numPr>
      </w:pPr>
      <w:r>
        <w:t xml:space="preserve">Apply drip_bypass alone to skip all drip enrollment for manually managed contacts.</w:t>
      </w:r>
    </w:p>
    <w:p>
      <w:pPr>
        <w:numPr>
          <w:ilvl w:val="0"/>
          <w:numId w:val="1006"/>
        </w:numPr>
      </w:pPr>
      <w:r>
        <w:rPr>
          <w:b/>
          <w:bCs/>
        </w:rPr>
        <w:t xml:space="preserve">NEW (v3.7):</w:t>
      </w:r>
      <w:r>
        <w:t xml:space="preserve"> </w:t>
      </w:r>
      <w:r>
        <w:t xml:space="preserve">Consumer lead-magnet capture workflows apply magnet_lead + drip_bypass to route leads into purpose-built series and suppress the general Consumer Drip.</w:t>
      </w:r>
    </w:p>
    <w:bookmarkEnd w:id="46"/>
    <w:bookmarkStart w:id="47" w:name="consumer-drip-gating-new-in-v3.7"/>
    <w:p>
      <w:pPr>
        <w:pStyle w:val="Heading2"/>
      </w:pPr>
      <w:r>
        <w:t xml:space="preserve">Consumer Drip Gating (NEW in v3.7)</w:t>
      </w:r>
    </w:p>
    <w:p>
      <w:pPr>
        <w:pStyle w:val="FirstParagraph"/>
      </w:pPr>
      <w:r>
        <w:t xml:space="preserve">The Consumer Drip now begins with a first-step If/Else</w:t>
      </w:r>
      <w:r>
        <w:t xml:space="preserve"> </w:t>
      </w:r>
      <w:r>
        <w:t xml:space="preserve">“Bypass Check”</w:t>
      </w:r>
      <w:r>
        <w:t xml:space="preserve">: contacts whose tags do NOT include drip_bypass run all 12 touches; contacts with drip_bypass are routed to END. This prevents the collision where magnet leads received both their purpose-built series and the general drip. The Consumer Drip’s correct role is now general consumer leads who did NOT enter through a lead magnet.</w:t>
      </w:r>
    </w:p>
    <w:bookmarkEnd w:id="47"/>
    <w:bookmarkStart w:id="48" w:name="consumer-drip-12-touch-sequence"/>
    <w:p>
      <w:pPr>
        <w:pStyle w:val="Heading2"/>
      </w:pPr>
      <w:r>
        <w:t xml:space="preserve">Consumer Drip, 12 Touch Sequence</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22"/>
        <w:tblLayout w:type="fixed"/>
        <w:tblLook w:firstRow="1" w:lastRow="0" w:firstColumn="0" w:lastColumn="0" w:noHBand="0" w:noVBand="0" w:val="0020"/>
      </w:tblPr>
      <w:tblGrid>
        <w:gridCol w:w="1113"/>
        <w:gridCol w:w="1113"/>
        <w:gridCol w:w="1113"/>
        <w:gridCol w:w="4455"/>
      </w:tblGrid>
      <w:tr>
        <w:trPr>
          <w:tblHeader w:val="on"/>
        </w:trPr>
        <w:tc>
          <w:tcPr/>
          <w:p>
            <w:pPr>
              <w:pStyle w:val="Compact"/>
              <w:jc w:val="left"/>
            </w:pPr>
            <w:r>
              <w:rPr>
                <w:b/>
                <w:bCs/>
              </w:rPr>
              <w:t xml:space="preserve">Touch</w:t>
            </w:r>
          </w:p>
        </w:tc>
        <w:tc>
          <w:tcPr/>
          <w:p>
            <w:pPr>
              <w:pStyle w:val="Compact"/>
              <w:jc w:val="left"/>
            </w:pPr>
            <w:r>
              <w:rPr>
                <w:b/>
                <w:bCs/>
              </w:rPr>
              <w:t xml:space="preserve">Day</w:t>
            </w:r>
          </w:p>
        </w:tc>
        <w:tc>
          <w:tcPr/>
          <w:p>
            <w:pPr>
              <w:pStyle w:val="Compact"/>
              <w:jc w:val="left"/>
            </w:pPr>
            <w:r>
              <w:rPr>
                <w:b/>
                <w:bCs/>
              </w:rPr>
              <w:t xml:space="preserve">Type</w:t>
            </w:r>
          </w:p>
        </w:tc>
        <w:tc>
          <w:tcPr/>
          <w:p>
            <w:pPr>
              <w:pStyle w:val="Compact"/>
              <w:jc w:val="left"/>
            </w:pPr>
            <w:r>
              <w:rPr>
                <w:b/>
                <w:bCs/>
              </w:rPr>
              <w:t xml:space="preserve">Content</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SMS</w:t>
            </w:r>
          </w:p>
        </w:tc>
        <w:tc>
          <w:tcPr/>
          <w:p>
            <w:pPr>
              <w:pStyle w:val="Compact"/>
              <w:jc w:val="left"/>
            </w:pPr>
            <w:r>
              <w:t xml:space="preserve">Instant first response, Scott from Enyrgy</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Email</w:t>
            </w:r>
          </w:p>
        </w:tc>
        <w:tc>
          <w:tcPr/>
          <w:p>
            <w:pPr>
              <w:pStyle w:val="Compact"/>
              <w:jc w:val="left"/>
            </w:pPr>
            <w:r>
              <w:t xml:space="preserve">You’re doing everything right. So why don’t you feel better?</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SMS</w:t>
            </w:r>
          </w:p>
        </w:tc>
        <w:tc>
          <w:tcPr/>
          <w:p>
            <w:pPr>
              <w:pStyle w:val="Compact"/>
              <w:jc w:val="left"/>
            </w:pPr>
            <w:r>
              <w:t xml:space="preserve">Vitamin D levels question, YES or NO branch</w:t>
            </w:r>
          </w:p>
        </w:tc>
      </w:tr>
      <w:tr>
        <w:tc>
          <w:tcPr/>
          <w:p>
            <w:pPr>
              <w:pStyle w:val="Compact"/>
              <w:jc w:val="left"/>
            </w:pPr>
            <w:r>
              <w:t xml:space="preserve">4</w:t>
            </w:r>
          </w:p>
        </w:tc>
        <w:tc>
          <w:tcPr/>
          <w:p>
            <w:pPr>
              <w:pStyle w:val="Compact"/>
              <w:jc w:val="left"/>
            </w:pPr>
            <w:r>
              <w:t xml:space="preserve">5</w:t>
            </w:r>
          </w:p>
        </w:tc>
        <w:tc>
          <w:tcPr/>
          <w:p>
            <w:pPr>
              <w:pStyle w:val="Compact"/>
              <w:jc w:val="left"/>
            </w:pPr>
            <w:r>
              <w:t xml:space="preserve">Email</w:t>
            </w:r>
          </w:p>
        </w:tc>
        <w:tc>
          <w:tcPr/>
          <w:p>
            <w:pPr>
              <w:pStyle w:val="Compact"/>
              <w:jc w:val="left"/>
            </w:pPr>
            <w:r>
              <w:t xml:space="preserve">The supplement industry has a dirty little secret</w:t>
            </w:r>
          </w:p>
        </w:tc>
      </w:tr>
      <w:tr>
        <w:tc>
          <w:tcPr/>
          <w:p>
            <w:pPr>
              <w:pStyle w:val="Compact"/>
              <w:jc w:val="left"/>
            </w:pPr>
            <w:r>
              <w:t xml:space="preserve">5</w:t>
            </w:r>
          </w:p>
        </w:tc>
        <w:tc>
          <w:tcPr/>
          <w:p>
            <w:pPr>
              <w:pStyle w:val="Compact"/>
              <w:jc w:val="left"/>
            </w:pPr>
            <w:r>
              <w:t xml:space="preserve">7</w:t>
            </w:r>
          </w:p>
        </w:tc>
        <w:tc>
          <w:tcPr/>
          <w:p>
            <w:pPr>
              <w:pStyle w:val="Compact"/>
              <w:jc w:val="left"/>
            </w:pPr>
            <w:r>
              <w:t xml:space="preserve">Internal</w:t>
            </w:r>
          </w:p>
        </w:tc>
        <w:tc>
          <w:tcPr/>
          <w:p>
            <w:pPr>
              <w:pStyle w:val="Compact"/>
              <w:jc w:val="left"/>
            </w:pPr>
            <w:r>
              <w:t xml:space="preserve">Personal call reminder + voicemail script</w:t>
            </w:r>
          </w:p>
        </w:tc>
      </w:tr>
      <w:tr>
        <w:tc>
          <w:tcPr/>
          <w:p>
            <w:pPr>
              <w:pStyle w:val="Compact"/>
              <w:jc w:val="left"/>
            </w:pPr>
            <w:r>
              <w:t xml:space="preserve">6</w:t>
            </w:r>
          </w:p>
        </w:tc>
        <w:tc>
          <w:tcPr/>
          <w:p>
            <w:pPr>
              <w:pStyle w:val="Compact"/>
              <w:jc w:val="left"/>
            </w:pPr>
            <w:r>
              <w:t xml:space="preserve">8</w:t>
            </w:r>
          </w:p>
        </w:tc>
        <w:tc>
          <w:tcPr/>
          <w:p>
            <w:pPr>
              <w:pStyle w:val="Compact"/>
              <w:jc w:val="left"/>
            </w:pPr>
            <w:r>
              <w:t xml:space="preserve">SMS</w:t>
            </w:r>
          </w:p>
        </w:tc>
        <w:tc>
          <w:tcPr/>
          <w:p>
            <w:pPr>
              <w:pStyle w:val="Compact"/>
              <w:jc w:val="left"/>
            </w:pPr>
            <w:r>
              <w:t xml:space="preserve">Story follow up after voicemail</w:t>
            </w:r>
          </w:p>
        </w:tc>
      </w:tr>
      <w:tr>
        <w:tc>
          <w:tcPr/>
          <w:p>
            <w:pPr>
              <w:pStyle w:val="Compact"/>
              <w:jc w:val="left"/>
            </w:pPr>
            <w:r>
              <w:t xml:space="preserve">7</w:t>
            </w:r>
          </w:p>
        </w:tc>
        <w:tc>
          <w:tcPr/>
          <w:p>
            <w:pPr>
              <w:pStyle w:val="Compact"/>
              <w:jc w:val="left"/>
            </w:pPr>
            <w:r>
              <w:t xml:space="preserve">10</w:t>
            </w:r>
          </w:p>
        </w:tc>
        <w:tc>
          <w:tcPr/>
          <w:p>
            <w:pPr>
              <w:pStyle w:val="Compact"/>
              <w:jc w:val="left"/>
            </w:pPr>
            <w:r>
              <w:t xml:space="preserve">Email</w:t>
            </w:r>
          </w:p>
        </w:tc>
        <w:tc>
          <w:tcPr/>
          <w:p>
            <w:pPr>
              <w:pStyle w:val="Compact"/>
              <w:jc w:val="left"/>
            </w:pPr>
            <w:r>
              <w:t xml:space="preserve">Is it safe?, UV safety deep dive</w:t>
            </w:r>
          </w:p>
        </w:tc>
      </w:tr>
      <w:tr>
        <w:tc>
          <w:tcPr/>
          <w:p>
            <w:pPr>
              <w:pStyle w:val="Compact"/>
              <w:jc w:val="left"/>
            </w:pPr>
            <w:r>
              <w:t xml:space="preserve">8</w:t>
            </w:r>
          </w:p>
        </w:tc>
        <w:tc>
          <w:tcPr/>
          <w:p>
            <w:pPr>
              <w:pStyle w:val="Compact"/>
              <w:jc w:val="left"/>
            </w:pPr>
            <w:r>
              <w:t xml:space="preserve">12</w:t>
            </w:r>
          </w:p>
        </w:tc>
        <w:tc>
          <w:tcPr/>
          <w:p>
            <w:pPr>
              <w:pStyle w:val="Compact"/>
              <w:jc w:val="left"/>
            </w:pPr>
            <w:r>
              <w:t xml:space="preserve">Email</w:t>
            </w:r>
          </w:p>
        </w:tc>
        <w:tc>
          <w:tcPr/>
          <w:p>
            <w:pPr>
              <w:pStyle w:val="Compact"/>
              <w:jc w:val="left"/>
            </w:pPr>
            <w:r>
              <w:t xml:space="preserve">What would $2,995 cost per session? ($2.30 at 5x/week over 5 years)</w:t>
            </w:r>
          </w:p>
        </w:tc>
      </w:tr>
      <w:tr>
        <w:tc>
          <w:tcPr/>
          <w:p>
            <w:pPr>
              <w:pStyle w:val="Compact"/>
              <w:jc w:val="left"/>
            </w:pPr>
            <w:r>
              <w:t xml:space="preserve">9</w:t>
            </w:r>
          </w:p>
        </w:tc>
        <w:tc>
          <w:tcPr/>
          <w:p>
            <w:pPr>
              <w:pStyle w:val="Compact"/>
              <w:jc w:val="left"/>
            </w:pPr>
            <w:r>
              <w:t xml:space="preserve">14</w:t>
            </w:r>
          </w:p>
        </w:tc>
        <w:tc>
          <w:tcPr/>
          <w:p>
            <w:pPr>
              <w:pStyle w:val="Compact"/>
              <w:jc w:val="left"/>
            </w:pPr>
            <w:r>
              <w:t xml:space="preserve">SMS</w:t>
            </w:r>
          </w:p>
        </w:tc>
        <w:tc>
          <w:tcPr/>
          <w:p>
            <w:pPr>
              <w:pStyle w:val="Compact"/>
              <w:jc w:val="left"/>
            </w:pPr>
            <w:r>
              <w:t xml:space="preserve">90% of customers use red light too</w:t>
            </w:r>
          </w:p>
        </w:tc>
      </w:tr>
      <w:tr>
        <w:tc>
          <w:tcPr/>
          <w:p>
            <w:pPr>
              <w:pStyle w:val="Compact"/>
              <w:jc w:val="left"/>
            </w:pPr>
            <w:r>
              <w:t xml:space="preserve">10</w:t>
            </w:r>
          </w:p>
        </w:tc>
        <w:tc>
          <w:tcPr/>
          <w:p>
            <w:pPr>
              <w:pStyle w:val="Compact"/>
              <w:jc w:val="left"/>
            </w:pPr>
            <w:r>
              <w:t xml:space="preserve">16</w:t>
            </w:r>
          </w:p>
        </w:tc>
        <w:tc>
          <w:tcPr/>
          <w:p>
            <w:pPr>
              <w:pStyle w:val="Compact"/>
              <w:jc w:val="left"/>
            </w:pPr>
            <w:r>
              <w:t xml:space="preserve">Email</w:t>
            </w:r>
          </w:p>
        </w:tc>
        <w:tc>
          <w:tcPr/>
          <w:p>
            <w:pPr>
              <w:pStyle w:val="Compact"/>
              <w:jc w:val="left"/>
            </w:pPr>
            <w:r>
              <w:t xml:space="preserve">For the person who has done their research</w:t>
            </w:r>
          </w:p>
        </w:tc>
      </w:tr>
      <w:tr>
        <w:tc>
          <w:tcPr/>
          <w:p>
            <w:pPr>
              <w:pStyle w:val="Compact"/>
              <w:jc w:val="left"/>
            </w:pPr>
            <w:r>
              <w:t xml:space="preserve">11</w:t>
            </w:r>
          </w:p>
        </w:tc>
        <w:tc>
          <w:tcPr/>
          <w:p>
            <w:pPr>
              <w:pStyle w:val="Compact"/>
              <w:jc w:val="left"/>
            </w:pPr>
            <w:r>
              <w:t xml:space="preserve">19</w:t>
            </w:r>
          </w:p>
        </w:tc>
        <w:tc>
          <w:tcPr/>
          <w:p>
            <w:pPr>
              <w:pStyle w:val="Compact"/>
              <w:jc w:val="left"/>
            </w:pPr>
            <w:r>
              <w:t xml:space="preserve">SMS</w:t>
            </w:r>
          </w:p>
        </w:tc>
        <w:tc>
          <w:tcPr/>
          <w:p>
            <w:pPr>
              <w:pStyle w:val="Compact"/>
              <w:jc w:val="left"/>
            </w:pPr>
            <w:r>
              <w:t xml:space="preserve">Limited availability, Phoenix, AZ manufacturing</w:t>
            </w:r>
          </w:p>
        </w:tc>
      </w:tr>
      <w:tr>
        <w:tc>
          <w:tcPr/>
          <w:p>
            <w:pPr>
              <w:pStyle w:val="Compact"/>
              <w:jc w:val="left"/>
            </w:pPr>
            <w:r>
              <w:t xml:space="preserve">12</w:t>
            </w:r>
          </w:p>
        </w:tc>
        <w:tc>
          <w:tcPr/>
          <w:p>
            <w:pPr>
              <w:pStyle w:val="Compact"/>
              <w:jc w:val="left"/>
            </w:pPr>
            <w:r>
              <w:t xml:space="preserve">21</w:t>
            </w:r>
          </w:p>
        </w:tc>
        <w:tc>
          <w:tcPr/>
          <w:p>
            <w:pPr>
              <w:pStyle w:val="Compact"/>
              <w:jc w:val="left"/>
            </w:pPr>
            <w:r>
              <w:t xml:space="preserve">Email</w:t>
            </w:r>
          </w:p>
        </w:tc>
        <w:tc>
          <w:tcPr/>
          <w:p>
            <w:pPr>
              <w:pStyle w:val="Compact"/>
              <w:jc w:val="left"/>
            </w:pPr>
            <w:r>
              <w:t xml:space="preserve">Closing the loop, leaving the door open</w:t>
            </w:r>
          </w:p>
        </w:tc>
      </w:tr>
    </w:tbl>
    <w:bookmarkEnd w:id="48"/>
    <w:bookmarkStart w:id="49" w:name="investor-drip-8-touch-sequence"/>
    <w:p>
      <w:pPr>
        <w:pStyle w:val="Heading2"/>
      </w:pPr>
      <w:r>
        <w:t xml:space="preserve">Investor Drip, 8 Touch Sequence</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08"/>
        <w:tblLayout w:type="fixed"/>
        <w:tblLook w:firstRow="1" w:lastRow="0" w:firstColumn="0" w:lastColumn="0" w:noHBand="0" w:noVBand="0" w:val="0020"/>
      </w:tblPr>
      <w:tblGrid>
        <w:gridCol w:w="1307"/>
        <w:gridCol w:w="1307"/>
        <w:gridCol w:w="1307"/>
        <w:gridCol w:w="3851"/>
      </w:tblGrid>
      <w:tr>
        <w:trPr>
          <w:tblHeader w:val="on"/>
        </w:trPr>
        <w:tc>
          <w:tcPr/>
          <w:p>
            <w:pPr>
              <w:pStyle w:val="Compact"/>
              <w:jc w:val="left"/>
            </w:pPr>
            <w:r>
              <w:rPr>
                <w:b/>
                <w:bCs/>
              </w:rPr>
              <w:t xml:space="preserve">Touch</w:t>
            </w:r>
          </w:p>
        </w:tc>
        <w:tc>
          <w:tcPr/>
          <w:p>
            <w:pPr>
              <w:pStyle w:val="Compact"/>
              <w:jc w:val="left"/>
            </w:pPr>
            <w:r>
              <w:rPr>
                <w:b/>
                <w:bCs/>
              </w:rPr>
              <w:t xml:space="preserve">Day</w:t>
            </w:r>
          </w:p>
        </w:tc>
        <w:tc>
          <w:tcPr/>
          <w:p>
            <w:pPr>
              <w:pStyle w:val="Compact"/>
              <w:jc w:val="left"/>
            </w:pPr>
            <w:r>
              <w:rPr>
                <w:b/>
                <w:bCs/>
              </w:rPr>
              <w:t xml:space="preserve">Type</w:t>
            </w:r>
          </w:p>
        </w:tc>
        <w:tc>
          <w:tcPr/>
          <w:p>
            <w:pPr>
              <w:pStyle w:val="Compact"/>
              <w:jc w:val="left"/>
            </w:pPr>
            <w:r>
              <w:rPr>
                <w:b/>
                <w:bCs/>
              </w:rPr>
              <w:t xml:space="preserve">Content</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Email</w:t>
            </w:r>
          </w:p>
        </w:tc>
        <w:tc>
          <w:tcPr/>
          <w:p>
            <w:pPr>
              <w:pStyle w:val="Compact"/>
              <w:jc w:val="left"/>
            </w:pPr>
            <w:r>
              <w:t xml:space="preserve">Company overview, no financial details</w:t>
            </w:r>
          </w:p>
        </w:tc>
      </w:tr>
      <w:tr>
        <w:tc>
          <w:tcPr/>
          <w:p>
            <w:pPr>
              <w:pStyle w:val="Compact"/>
              <w:jc w:val="left"/>
            </w:pPr>
            <w:r>
              <w:t xml:space="preserve">2</w:t>
            </w:r>
          </w:p>
        </w:tc>
        <w:tc>
          <w:tcPr/>
          <w:p>
            <w:pPr>
              <w:pStyle w:val="Compact"/>
              <w:jc w:val="left"/>
            </w:pPr>
            <w:r>
              <w:t xml:space="preserve">3</w:t>
            </w:r>
          </w:p>
        </w:tc>
        <w:tc>
          <w:tcPr/>
          <w:p>
            <w:pPr>
              <w:pStyle w:val="Compact"/>
              <w:jc w:val="left"/>
            </w:pPr>
            <w:r>
              <w:t xml:space="preserve">Internal</w:t>
            </w:r>
          </w:p>
        </w:tc>
        <w:tc>
          <w:tcPr/>
          <w:p>
            <w:pPr>
              <w:pStyle w:val="Compact"/>
              <w:jc w:val="left"/>
            </w:pPr>
            <w:r>
              <w:t xml:space="preserve">LinkedIn connect reminder, HUMAN TASK</w:t>
            </w:r>
          </w:p>
        </w:tc>
      </w:tr>
      <w:tr>
        <w:tc>
          <w:tcPr/>
          <w:p>
            <w:pPr>
              <w:pStyle w:val="Compact"/>
              <w:jc w:val="left"/>
            </w:pPr>
            <w:r>
              <w:t xml:space="preserve">3</w:t>
            </w:r>
          </w:p>
        </w:tc>
        <w:tc>
          <w:tcPr/>
          <w:p>
            <w:pPr>
              <w:pStyle w:val="Compact"/>
              <w:jc w:val="left"/>
            </w:pPr>
            <w:r>
              <w:t xml:space="preserve">6</w:t>
            </w:r>
          </w:p>
        </w:tc>
        <w:tc>
          <w:tcPr/>
          <w:p>
            <w:pPr>
              <w:pStyle w:val="Compact"/>
              <w:jc w:val="left"/>
            </w:pPr>
            <w:r>
              <w:t xml:space="preserve">Email</w:t>
            </w:r>
          </w:p>
        </w:tc>
        <w:tc>
          <w:tcPr/>
          <w:p>
            <w:pPr>
              <w:pStyle w:val="Compact"/>
              <w:jc w:val="left"/>
            </w:pPr>
            <w:r>
              <w:t xml:space="preserve">Traction email, 600+ customers, 25,000+ treatments</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Internal</w:t>
            </w:r>
          </w:p>
        </w:tc>
        <w:tc>
          <w:tcPr/>
          <w:p>
            <w:pPr>
              <w:pStyle w:val="Compact"/>
              <w:jc w:val="left"/>
            </w:pPr>
            <w:r>
              <w:t xml:space="preserve">Direct call attempt + voicemail, HUMAN TASK</w:t>
            </w:r>
          </w:p>
        </w:tc>
      </w:tr>
      <w:tr>
        <w:tc>
          <w:tcPr/>
          <w:p>
            <w:pPr>
              <w:pStyle w:val="Compact"/>
              <w:jc w:val="left"/>
            </w:pPr>
            <w:r>
              <w:t xml:space="preserve">5</w:t>
            </w:r>
          </w:p>
        </w:tc>
        <w:tc>
          <w:tcPr/>
          <w:p>
            <w:pPr>
              <w:pStyle w:val="Compact"/>
              <w:jc w:val="left"/>
            </w:pPr>
            <w:r>
              <w:t xml:space="preserve">14</w:t>
            </w:r>
          </w:p>
        </w:tc>
        <w:tc>
          <w:tcPr/>
          <w:p>
            <w:pPr>
              <w:pStyle w:val="Compact"/>
              <w:jc w:val="left"/>
            </w:pPr>
            <w:r>
              <w:t xml:space="preserve">Email</w:t>
            </w:r>
          </w:p>
        </w:tc>
        <w:tc>
          <w:tcPr/>
          <w:p>
            <w:pPr>
              <w:pStyle w:val="Compact"/>
              <w:jc w:val="left"/>
            </w:pPr>
            <w:r>
              <w:t xml:space="preserve">Team credibility, scientific advisors</w:t>
            </w:r>
          </w:p>
        </w:tc>
      </w:tr>
      <w:tr>
        <w:tc>
          <w:tcPr/>
          <w:p>
            <w:pPr>
              <w:pStyle w:val="Compact"/>
              <w:jc w:val="left"/>
            </w:pPr>
            <w:r>
              <w:t xml:space="preserve">6</w:t>
            </w:r>
          </w:p>
        </w:tc>
        <w:tc>
          <w:tcPr/>
          <w:p>
            <w:pPr>
              <w:pStyle w:val="Compact"/>
              <w:jc w:val="left"/>
            </w:pPr>
            <w:r>
              <w:t xml:space="preserve">18</w:t>
            </w:r>
          </w:p>
        </w:tc>
        <w:tc>
          <w:tcPr/>
          <w:p>
            <w:pPr>
              <w:pStyle w:val="Compact"/>
              <w:jc w:val="left"/>
            </w:pPr>
            <w:r>
              <w:t xml:space="preserve">Email</w:t>
            </w:r>
          </w:p>
        </w:tc>
        <w:tc>
          <w:tcPr/>
          <w:p>
            <w:pPr>
              <w:pStyle w:val="Compact"/>
              <w:jc w:val="left"/>
            </w:pPr>
            <w:r>
              <w:t xml:space="preserve">Second follow-up, traction update or proof point</w:t>
            </w:r>
          </w:p>
        </w:tc>
      </w:tr>
      <w:tr>
        <w:tc>
          <w:tcPr/>
          <w:p>
            <w:pPr>
              <w:pStyle w:val="Compact"/>
              <w:jc w:val="left"/>
            </w:pPr>
            <w:r>
              <w:t xml:space="preserve">7</w:t>
            </w:r>
          </w:p>
        </w:tc>
        <w:tc>
          <w:tcPr/>
          <w:p>
            <w:pPr>
              <w:pStyle w:val="Compact"/>
              <w:jc w:val="left"/>
            </w:pPr>
            <w:r>
              <w:t xml:space="preserve">22</w:t>
            </w:r>
          </w:p>
        </w:tc>
        <w:tc>
          <w:tcPr/>
          <w:p>
            <w:pPr>
              <w:pStyle w:val="Compact"/>
              <w:jc w:val="left"/>
            </w:pPr>
            <w:r>
              <w:t xml:space="preserve">Email</w:t>
            </w:r>
          </w:p>
        </w:tc>
        <w:tc>
          <w:tcPr/>
          <w:p>
            <w:pPr>
              <w:pStyle w:val="Compact"/>
              <w:jc w:val="left"/>
            </w:pPr>
            <w:r>
              <w:t xml:space="preserve">PPM delivery, sent after intro meeting is complete (no accreditation required)</w:t>
            </w:r>
          </w:p>
        </w:tc>
      </w:tr>
      <w:tr>
        <w:tc>
          <w:tcPr/>
          <w:p>
            <w:pPr>
              <w:pStyle w:val="Compact"/>
              <w:jc w:val="left"/>
            </w:pPr>
            <w:r>
              <w:t xml:space="preserve">8</w:t>
            </w:r>
          </w:p>
        </w:tc>
        <w:tc>
          <w:tcPr/>
          <w:p>
            <w:pPr>
              <w:pStyle w:val="Compact"/>
              <w:jc w:val="left"/>
            </w:pPr>
            <w:r>
              <w:t xml:space="preserve">30</w:t>
            </w:r>
          </w:p>
        </w:tc>
        <w:tc>
          <w:tcPr/>
          <w:p>
            <w:pPr>
              <w:pStyle w:val="Compact"/>
              <w:jc w:val="left"/>
            </w:pPr>
            <w:r>
              <w:t xml:space="preserve">Email</w:t>
            </w:r>
          </w:p>
        </w:tc>
        <w:tc>
          <w:tcPr/>
          <w:p>
            <w:pPr>
              <w:pStyle w:val="Compact"/>
              <w:jc w:val="left"/>
            </w:pPr>
            <w:r>
              <w:t xml:space="preserve">Final outreach, closing the loop</w:t>
            </w:r>
          </w:p>
        </w:tc>
      </w:tr>
    </w:tbl>
    <w:p>
      <w:pPr>
        <w:pStyle w:val="BodyText"/>
      </w:pPr>
      <w:r>
        <w:t xml:space="preserve">ATTORNEY CONFIRMED: Touch 7 PPM fires after intro meeting is marked complete. No accreditation gate on PPM delivery. Accreditation form is sent when investor signals intent to commit (Stage 5). Per Enyrgy’s securities attorney.</w:t>
      </w:r>
    </w:p>
    <w:bookmarkEnd w:id="49"/>
    <w:bookmarkEnd w:id="50"/>
    <w:bookmarkStart w:id="57" w:name="section-12-core-workflows"/>
    <w:p>
      <w:pPr>
        <w:pStyle w:val="Heading1"/>
      </w:pPr>
      <w:r>
        <w:t xml:space="preserve">SECTION 12: CORE WORKFLOWS</w:t>
      </w:r>
    </w:p>
    <w:bookmarkStart w:id="51" w:name="wf-01-through-wf-10"/>
    <w:p>
      <w:pPr>
        <w:pStyle w:val="Heading2"/>
      </w:pPr>
      <w:r>
        <w:t xml:space="preserve">WF-01 through WF-10</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39"/>
        <w:tblLayout w:type="fixed"/>
        <w:tblLook w:firstRow="1" w:lastRow="0" w:firstColumn="0" w:lastColumn="0" w:noHBand="0" w:noVBand="0" w:val="0020"/>
      </w:tblPr>
      <w:tblGrid>
        <w:gridCol w:w="1883"/>
        <w:gridCol w:w="1593"/>
        <w:gridCol w:w="869"/>
        <w:gridCol w:w="3477"/>
      </w:tblGrid>
      <w:tr>
        <w:trPr>
          <w:tblHeader w:val="on"/>
        </w:trPr>
        <w:tc>
          <w:tcPr/>
          <w:p>
            <w:pPr>
              <w:pStyle w:val="Compact"/>
              <w:jc w:val="left"/>
            </w:pPr>
            <w:r>
              <w:rPr>
                <w:b/>
                <w:bCs/>
              </w:rPr>
              <w:t xml:space="preserve">Workflow</w:t>
            </w:r>
          </w:p>
        </w:tc>
        <w:tc>
          <w:tcPr/>
          <w:p>
            <w:pPr>
              <w:pStyle w:val="Compact"/>
              <w:jc w:val="left"/>
            </w:pPr>
            <w:r>
              <w:rPr>
                <w:b/>
                <w:bCs/>
              </w:rPr>
              <w:t xml:space="preserve">Trigger</w:t>
            </w:r>
          </w:p>
        </w:tc>
        <w:tc>
          <w:tcPr/>
          <w:p>
            <w:pPr>
              <w:pStyle w:val="Compact"/>
              <w:jc w:val="left"/>
            </w:pPr>
            <w:r>
              <w:rPr>
                <w:b/>
                <w:bCs/>
              </w:rPr>
              <w:t xml:space="preserve">Status</w:t>
            </w:r>
          </w:p>
        </w:tc>
        <w:tc>
          <w:tcPr/>
          <w:p>
            <w:pPr>
              <w:pStyle w:val="Compact"/>
              <w:jc w:val="left"/>
            </w:pPr>
            <w:r>
              <w:rPr>
                <w:b/>
                <w:bCs/>
              </w:rPr>
              <w:t xml:space="preserve">v3.7 change</w:t>
            </w:r>
          </w:p>
        </w:tc>
      </w:tr>
      <w:tr>
        <w:tc>
          <w:tcPr/>
          <w:p>
            <w:pPr>
              <w:pStyle w:val="Compact"/>
              <w:jc w:val="left"/>
            </w:pPr>
            <w:r>
              <w:t xml:space="preserve">WF-01 New Lead Router</w:t>
            </w:r>
          </w:p>
        </w:tc>
        <w:tc>
          <w:tcPr/>
          <w:p>
            <w:pPr>
              <w:pStyle w:val="Compact"/>
              <w:jc w:val="left"/>
            </w:pPr>
            <w:r>
              <w:t xml:space="preserve">Contact Created</w:t>
            </w:r>
          </w:p>
        </w:tc>
        <w:tc>
          <w:tcPr/>
          <w:p>
            <w:pPr>
              <w:pStyle w:val="Compact"/>
              <w:jc w:val="left"/>
            </w:pPr>
            <w:r>
              <w:t xml:space="preserve">Published</w:t>
            </w:r>
          </w:p>
        </w:tc>
        <w:tc>
          <w:tcPr/>
          <w:p>
            <w:pPr>
              <w:pStyle w:val="Compact"/>
              <w:jc w:val="left"/>
            </w:pPr>
            <w:r>
              <w:rPr>
                <w:b/>
                <w:bCs/>
              </w:rPr>
              <w:t xml:space="preserve">GUARDED (Aug 1 and Aug 4).</w:t>
            </w:r>
            <w:r>
              <w:t xml:space="preserve"> </w:t>
            </w:r>
            <w:r>
              <w:t xml:space="preserve">After Wait 1 Minute, a Device User Check continues only when</w:t>
            </w:r>
            <w:r>
              <w:t xml:space="preserve"> </w:t>
            </w:r>
            <w:r>
              <w:rPr>
                <w:rStyle w:val="VerbatimChar"/>
              </w:rPr>
              <w:t xml:space="preserve">Tags does NOT include source_device_app AND Email does not contain @enyrgy.com AND Tags does NOT include no_route</w:t>
            </w:r>
            <w:r>
              <w:t xml:space="preserve">; otherwise END. The device clause keeps Outcode-created users out of lead nurture. The domain and no_route clauses close the leak where inbound mail to mg.enyrgy.com created contacts that fell through to</w:t>
            </w:r>
            <w:r>
              <w:t xml:space="preserve"> </w:t>
            </w:r>
            <w:r>
              <w:rPr>
                <w:rStyle w:val="VerbatimChar"/>
              </w:rPr>
              <w:t xml:space="preserve">Default Consumer</w:t>
            </w:r>
            <w:r>
              <w:t xml:space="preserve"> </w:t>
            </w:r>
            <w:r>
              <w:t xml:space="preserve">and entered the Consumer Drip.</w:t>
            </w:r>
          </w:p>
        </w:tc>
      </w:tr>
      <w:tr>
        <w:tc>
          <w:tcPr/>
          <w:p>
            <w:pPr>
              <w:pStyle w:val="Compact"/>
              <w:jc w:val="left"/>
            </w:pPr>
            <w:r>
              <w:t xml:space="preserve">WF-02 5 Minute First Response</w:t>
            </w:r>
          </w:p>
        </w:tc>
        <w:tc>
          <w:tcPr/>
          <w:p>
            <w:pPr>
              <w:pStyle w:val="Compact"/>
              <w:jc w:val="left"/>
            </w:pPr>
            <w:r>
              <w:t xml:space="preserve">type_consumer tag applied</w:t>
            </w:r>
          </w:p>
        </w:tc>
        <w:tc>
          <w:tcPr/>
          <w:p>
            <w:pPr>
              <w:pStyle w:val="Compact"/>
              <w:jc w:val="left"/>
            </w:pPr>
            <w:r>
              <w:t xml:space="preserve">Published</w:t>
            </w:r>
          </w:p>
        </w:tc>
        <w:tc>
          <w:tcPr/>
          <w:p>
            <w:pPr>
              <w:pStyle w:val="Compact"/>
              <w:jc w:val="left"/>
            </w:pPr>
            <w:r>
              <w:rPr>
                <w:b/>
                <w:bCs/>
              </w:rPr>
              <w:t xml:space="preserve">Gated: If/Else skips contacts with drip_bypass</w:t>
            </w:r>
          </w:p>
        </w:tc>
      </w:tr>
      <w:tr>
        <w:tc>
          <w:tcPr/>
          <w:p>
            <w:pPr>
              <w:pStyle w:val="Compact"/>
              <w:jc w:val="left"/>
            </w:pPr>
            <w:r>
              <w:t xml:space="preserve">WF-03 Lead Score Updater</w:t>
            </w:r>
          </w:p>
        </w:tc>
        <w:tc>
          <w:tcPr/>
          <w:p>
            <w:pPr>
              <w:pStyle w:val="Compact"/>
              <w:jc w:val="left"/>
            </w:pPr>
            <w:r>
              <w:t xml:space="preserve">Native via Manage Scoring</w:t>
            </w:r>
          </w:p>
        </w:tc>
        <w:tc>
          <w:tcPr/>
          <w:p>
            <w:pPr>
              <w:pStyle w:val="Compact"/>
              <w:jc w:val="left"/>
            </w:pPr>
            <w:r>
              <w:t xml:space="preserve">Active</w:t>
            </w:r>
          </w:p>
        </w:tc>
        <w:tc>
          <w:tcPr/>
          <w:p>
            <w:pPr>
              <w:pStyle w:val="Compact"/>
              <w:jc w:val="left"/>
            </w:pPr>
            <w:r>
              <w:t xml:space="preserve">—</w:t>
            </w:r>
          </w:p>
        </w:tc>
      </w:tr>
      <w:tr>
        <w:tc>
          <w:tcPr/>
          <w:p>
            <w:pPr>
              <w:pStyle w:val="Compact"/>
              <w:jc w:val="left"/>
            </w:pPr>
            <w:r>
              <w:t xml:space="preserve">WF-04 Stale Lead Sentinel</w:t>
            </w:r>
          </w:p>
        </w:tc>
        <w:tc>
          <w:tcPr/>
          <w:p>
            <w:pPr>
              <w:pStyle w:val="Compact"/>
              <w:jc w:val="left"/>
            </w:pPr>
            <w:r>
              <w:t xml:space="preserve">Daily scheduler 8AM</w:t>
            </w:r>
          </w:p>
        </w:tc>
        <w:tc>
          <w:tcPr/>
          <w:p>
            <w:pPr>
              <w:pStyle w:val="Compact"/>
              <w:jc w:val="left"/>
            </w:pPr>
            <w:r>
              <w:t xml:space="preserve">Published</w:t>
            </w:r>
          </w:p>
        </w:tc>
        <w:tc>
          <w:tcPr/>
          <w:p>
            <w:pPr>
              <w:pStyle w:val="Compact"/>
              <w:jc w:val="left"/>
            </w:pPr>
            <w:r>
              <w:rPr>
                <w:b/>
                <w:bCs/>
              </w:rPr>
              <w:t xml:space="preserve">“Stale Lead”</w:t>
            </w:r>
            <w:r>
              <w:rPr>
                <w:b/>
                <w:bCs/>
              </w:rPr>
              <w:t xml:space="preserve"> </w:t>
            </w:r>
            <w:r>
              <w:rPr>
                <w:b/>
                <w:bCs/>
              </w:rPr>
              <w:t xml:space="preserve">branch requires status_in_drip AND NOT drip_bypass</w:t>
            </w:r>
          </w:p>
        </w:tc>
      </w:tr>
      <w:tr>
        <w:tc>
          <w:tcPr/>
          <w:p>
            <w:pPr>
              <w:pStyle w:val="Compact"/>
              <w:jc w:val="left"/>
            </w:pPr>
            <w:r>
              <w:t xml:space="preserve">WF-05 Demo Completion To Proposal</w:t>
            </w:r>
          </w:p>
        </w:tc>
        <w:tc>
          <w:tcPr/>
          <w:p>
            <w:pPr>
              <w:pStyle w:val="Compact"/>
              <w:jc w:val="left"/>
            </w:pPr>
            <w:r>
              <w:t xml:space="preserve">Has Seen Demo = Yes</w:t>
            </w:r>
          </w:p>
        </w:tc>
        <w:tc>
          <w:tcPr/>
          <w:p>
            <w:pPr>
              <w:pStyle w:val="Compact"/>
              <w:jc w:val="left"/>
            </w:pPr>
            <w:r>
              <w:t xml:space="preserve">Published</w:t>
            </w:r>
          </w:p>
        </w:tc>
        <w:tc>
          <w:tcPr/>
          <w:p>
            <w:pPr>
              <w:pStyle w:val="Compact"/>
              <w:jc w:val="left"/>
            </w:pPr>
            <w:r>
              <w:t xml:space="preserve">—</w:t>
            </w:r>
          </w:p>
        </w:tc>
      </w:tr>
      <w:tr>
        <w:tc>
          <w:tcPr/>
          <w:p>
            <w:pPr>
              <w:pStyle w:val="Compact"/>
              <w:jc w:val="left"/>
            </w:pPr>
            <w:r>
              <w:t xml:space="preserve">WF-06 New Customer Onboarding</w:t>
            </w:r>
          </w:p>
        </w:tc>
        <w:tc>
          <w:tcPr/>
          <w:p>
            <w:pPr>
              <w:pStyle w:val="Compact"/>
              <w:jc w:val="left"/>
            </w:pPr>
            <w:r>
              <w:t xml:space="preserve">unit_shipped tag applied</w:t>
            </w:r>
          </w:p>
        </w:tc>
        <w:tc>
          <w:tcPr/>
          <w:p>
            <w:pPr>
              <w:pStyle w:val="Compact"/>
              <w:jc w:val="left"/>
            </w:pPr>
            <w:r>
              <w:t xml:space="preserve">Published</w:t>
            </w:r>
          </w:p>
        </w:tc>
        <w:tc>
          <w:tcPr/>
          <w:p>
            <w:pPr>
              <w:pStyle w:val="Compact"/>
              <w:jc w:val="left"/>
            </w:pPr>
            <w:r>
              <w:t xml:space="preserve">—</w:t>
            </w:r>
          </w:p>
        </w:tc>
      </w:tr>
      <w:tr>
        <w:tc>
          <w:tcPr/>
          <w:p>
            <w:pPr>
              <w:pStyle w:val="Compact"/>
              <w:jc w:val="left"/>
            </w:pPr>
            <w:r>
              <w:t xml:space="preserve">WF-07 Review And Referral Activation</w:t>
            </w:r>
          </w:p>
        </w:tc>
        <w:tc>
          <w:tcPr/>
          <w:p>
            <w:pPr>
              <w:pStyle w:val="Compact"/>
              <w:jc w:val="left"/>
            </w:pPr>
            <w:r>
              <w:t xml:space="preserve">unit_activated tag applied</w:t>
            </w:r>
          </w:p>
        </w:tc>
        <w:tc>
          <w:tcPr/>
          <w:p>
            <w:pPr>
              <w:pStyle w:val="Compact"/>
              <w:jc w:val="left"/>
            </w:pPr>
            <w:r>
              <w:t xml:space="preserve">Published</w:t>
            </w:r>
          </w:p>
        </w:tc>
        <w:tc>
          <w:tcPr/>
          <w:p>
            <w:pPr>
              <w:pStyle w:val="Compact"/>
              <w:jc w:val="left"/>
            </w:pPr>
            <w:r>
              <w:t xml:space="preserve">—</w:t>
            </w:r>
          </w:p>
        </w:tc>
      </w:tr>
      <w:tr>
        <w:tc>
          <w:tcPr/>
          <w:p>
            <w:pPr>
              <w:pStyle w:val="Compact"/>
              <w:jc w:val="left"/>
            </w:pPr>
            <w:r>
              <w:t xml:space="preserve">WF-08 Reactivation Campaign</w:t>
            </w:r>
          </w:p>
        </w:tc>
        <w:tc>
          <w:tcPr/>
          <w:p>
            <w:pPr>
              <w:pStyle w:val="Compact"/>
              <w:jc w:val="left"/>
            </w:pPr>
            <w:r>
              <w:t xml:space="preserve">status_cold + 60 day wait</w:t>
            </w:r>
          </w:p>
        </w:tc>
        <w:tc>
          <w:tcPr/>
          <w:p>
            <w:pPr>
              <w:pStyle w:val="Compact"/>
              <w:jc w:val="left"/>
            </w:pPr>
            <w:r>
              <w:t xml:space="preserve">Published</w:t>
            </w:r>
          </w:p>
        </w:tc>
        <w:tc>
          <w:tcPr/>
          <w:p>
            <w:pPr>
              <w:pStyle w:val="Compact"/>
              <w:jc w:val="left"/>
            </w:pPr>
            <w:r>
              <w:t xml:space="preserve">—</w:t>
            </w:r>
          </w:p>
        </w:tc>
      </w:tr>
      <w:tr>
        <w:tc>
          <w:tcPr/>
          <w:p>
            <w:pPr>
              <w:pStyle w:val="Compact"/>
              <w:jc w:val="left"/>
            </w:pPr>
            <w:r>
              <w:t xml:space="preserve">WF-09 Compliance Guardian</w:t>
            </w:r>
          </w:p>
        </w:tc>
        <w:tc>
          <w:tcPr/>
          <w:p>
            <w:pPr>
              <w:pStyle w:val="Compact"/>
              <w:jc w:val="left"/>
            </w:pPr>
            <w:r>
              <w:t xml:space="preserve">medical_claim_risk tag applied</w:t>
            </w:r>
          </w:p>
        </w:tc>
        <w:tc>
          <w:tcPr/>
          <w:p>
            <w:pPr>
              <w:pStyle w:val="Compact"/>
              <w:jc w:val="left"/>
            </w:pPr>
            <w:r>
              <w:t xml:space="preserve">Published</w:t>
            </w:r>
          </w:p>
        </w:tc>
        <w:tc>
          <w:tcPr/>
          <w:p>
            <w:pPr>
              <w:pStyle w:val="Compact"/>
              <w:jc w:val="left"/>
            </w:pPr>
            <w:r>
              <w:t xml:space="preserve">—</w:t>
            </w:r>
          </w:p>
        </w:tc>
      </w:tr>
      <w:tr>
        <w:tc>
          <w:tcPr/>
          <w:p>
            <w:pPr>
              <w:pStyle w:val="Compact"/>
              <w:jc w:val="left"/>
            </w:pPr>
            <w:r>
              <w:t xml:space="preserve">WF-10 Partner Expansion Trigger</w:t>
            </w:r>
          </w:p>
        </w:tc>
        <w:tc>
          <w:tcPr/>
          <w:p>
            <w:pPr>
              <w:pStyle w:val="Compact"/>
              <w:jc w:val="left"/>
            </w:pPr>
            <w:r>
              <w:t xml:space="preserve">Monthly scheduler 1st</w:t>
            </w:r>
          </w:p>
        </w:tc>
        <w:tc>
          <w:tcPr/>
          <w:p>
            <w:pPr>
              <w:pStyle w:val="Compact"/>
              <w:jc w:val="left"/>
            </w:pPr>
            <w:r>
              <w:t xml:space="preserve">Published</w:t>
            </w:r>
          </w:p>
        </w:tc>
        <w:tc>
          <w:tcPr/>
          <w:p>
            <w:pPr>
              <w:pStyle w:val="Compact"/>
              <w:jc w:val="left"/>
            </w:pPr>
            <w:r>
              <w:t xml:space="preserve">—</w:t>
            </w:r>
          </w:p>
        </w:tc>
      </w:tr>
    </w:tbl>
    <w:bookmarkEnd w:id="51"/>
    <w:bookmarkStart w:id="52" w:name="X5bc6bf71dba644c700ee4f719d5b4f05d19bbd5"/>
    <w:p>
      <w:pPr>
        <w:pStyle w:val="Heading2"/>
      </w:pPr>
      <w:r>
        <w:t xml:space="preserve">WF-11 through WF-20 (Consumer Funnel, all four magnets live)</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37"/>
        <w:tblLayout w:type="fixed"/>
        <w:tblLook w:firstRow="1" w:lastRow="0" w:firstColumn="0" w:lastColumn="0" w:noHBand="0" w:noVBand="0" w:val="0020"/>
      </w:tblPr>
      <w:tblGrid>
        <w:gridCol w:w="1643"/>
        <w:gridCol w:w="1095"/>
        <w:gridCol w:w="1942"/>
        <w:gridCol w:w="3138"/>
      </w:tblGrid>
      <w:tr>
        <w:trPr>
          <w:tblHeader w:val="on"/>
        </w:trPr>
        <w:tc>
          <w:tcPr/>
          <w:p>
            <w:pPr>
              <w:pStyle w:val="Compact"/>
              <w:jc w:val="left"/>
            </w:pPr>
            <w:r>
              <w:rPr>
                <w:b/>
                <w:bCs/>
              </w:rPr>
              <w:t xml:space="preserve">Workflow</w:t>
            </w:r>
          </w:p>
        </w:tc>
        <w:tc>
          <w:tcPr/>
          <w:p>
            <w:pPr>
              <w:pStyle w:val="Compact"/>
              <w:jc w:val="left"/>
            </w:pPr>
            <w:r>
              <w:rPr>
                <w:b/>
                <w:bCs/>
              </w:rPr>
              <w:t xml:space="preserve">Trigger</w:t>
            </w:r>
          </w:p>
        </w:tc>
        <w:tc>
          <w:tcPr/>
          <w:p>
            <w:pPr>
              <w:pStyle w:val="Compact"/>
              <w:jc w:val="left"/>
            </w:pPr>
            <w:r>
              <w:rPr>
                <w:b/>
                <w:bCs/>
              </w:rPr>
              <w:t xml:space="preserve">Purpose</w:t>
            </w:r>
          </w:p>
        </w:tc>
        <w:tc>
          <w:tcPr/>
          <w:p>
            <w:pPr>
              <w:pStyle w:val="Compact"/>
              <w:jc w:val="left"/>
            </w:pPr>
            <w:r>
              <w:rPr>
                <w:b/>
                <w:bCs/>
              </w:rPr>
              <w:t xml:space="preserve">Tags applied</w:t>
            </w:r>
          </w:p>
        </w:tc>
      </w:tr>
      <w:tr>
        <w:tc>
          <w:tcPr/>
          <w:p>
            <w:pPr>
              <w:pStyle w:val="Compact"/>
              <w:jc w:val="left"/>
            </w:pPr>
            <w:r>
              <w:t xml:space="preserve">WF-11 Contact Page Router</w:t>
            </w:r>
          </w:p>
        </w:tc>
        <w:tc>
          <w:tcPr/>
          <w:p>
            <w:pPr>
              <w:pStyle w:val="Compact"/>
              <w:jc w:val="left"/>
            </w:pPr>
            <w:r>
              <w:t xml:space="preserve">Contact-page form</w:t>
            </w:r>
          </w:p>
        </w:tc>
        <w:tc>
          <w:tcPr/>
          <w:p>
            <w:pPr>
              <w:pStyle w:val="Compact"/>
              <w:jc w:val="left"/>
            </w:pPr>
            <w:r>
              <w:t xml:space="preserve">Route general contact-form leads</w:t>
            </w:r>
          </w:p>
        </w:tc>
        <w:tc>
          <w:tcPr/>
          <w:p>
            <w:pPr>
              <w:pStyle w:val="Compact"/>
              <w:jc w:val="left"/>
            </w:pPr>
            <w:r>
              <w:t xml:space="preserve">type_consumer</w:t>
            </w:r>
          </w:p>
        </w:tc>
      </w:tr>
      <w:tr>
        <w:tc>
          <w:tcPr/>
          <w:p>
            <w:pPr>
              <w:pStyle w:val="Compact"/>
              <w:jc w:val="left"/>
            </w:pPr>
            <w:r>
              <w:t xml:space="preserve">WF-12 Tired Test Capture</w:t>
            </w:r>
          </w:p>
        </w:tc>
        <w:tc>
          <w:tcPr/>
          <w:p>
            <w:pPr>
              <w:pStyle w:val="Compact"/>
              <w:jc w:val="left"/>
            </w:pPr>
            <w:r>
              <w:t xml:space="preserve">Quiz webhook</w:t>
            </w:r>
          </w:p>
        </w:tc>
        <w:tc>
          <w:tcPr/>
          <w:p>
            <w:pPr>
              <w:pStyle w:val="Compact"/>
              <w:jc w:val="left"/>
            </w:pPr>
            <w:r>
              <w:t xml:space="preserve">Capture Outer Ring quiz leads</w:t>
            </w:r>
          </w:p>
        </w:tc>
        <w:tc>
          <w:tcPr/>
          <w:p>
            <w:pPr>
              <w:pStyle w:val="Compact"/>
              <w:jc w:val="left"/>
            </w:pPr>
            <w:r>
              <w:t xml:space="preserve">type_consumer, magnet_lead, drip_bypass, icp_energy_sleep</w:t>
            </w:r>
          </w:p>
        </w:tc>
      </w:tr>
      <w:tr>
        <w:tc>
          <w:tcPr/>
          <w:p>
            <w:pPr>
              <w:pStyle w:val="Compact"/>
              <w:jc w:val="left"/>
            </w:pPr>
            <w:r>
              <w:t xml:space="preserve">WF-13 Tired Test Emails</w:t>
            </w:r>
          </w:p>
        </w:tc>
        <w:tc>
          <w:tcPr/>
          <w:p>
            <w:pPr>
              <w:pStyle w:val="Compact"/>
              <w:jc w:val="left"/>
            </w:pPr>
            <w:r>
              <w:t xml:space="preserve">Enrolled by WF-12</w:t>
            </w:r>
          </w:p>
        </w:tc>
        <w:tc>
          <w:tcPr/>
          <w:p>
            <w:pPr>
              <w:pStyle w:val="Compact"/>
              <w:jc w:val="left"/>
            </w:pPr>
            <w:r>
              <w:t xml:space="preserve">5-email series (single version, v2)</w:t>
            </w:r>
          </w:p>
        </w:tc>
        <w:tc>
          <w:tcPr/>
          <w:p>
            <w:pPr>
              <w:pStyle w:val="Compact"/>
              <w:jc w:val="left"/>
            </w:pPr>
            <w:r>
              <w:t xml:space="preserve">nurture_longterm at end</w:t>
            </w:r>
          </w:p>
        </w:tc>
      </w:tr>
      <w:tr>
        <w:tc>
          <w:tcPr/>
          <w:p>
            <w:pPr>
              <w:pStyle w:val="Compact"/>
              <w:jc w:val="left"/>
            </w:pPr>
            <w:r>
              <w:t xml:space="preserve">WF-14 Recovery Protocol Emails</w:t>
            </w:r>
          </w:p>
        </w:tc>
        <w:tc>
          <w:tcPr/>
          <w:p>
            <w:pPr>
              <w:pStyle w:val="Compact"/>
              <w:jc w:val="left"/>
            </w:pPr>
            <w:r>
              <w:t xml:space="preserve">Enrolled by WF-18</w:t>
            </w:r>
          </w:p>
        </w:tc>
        <w:tc>
          <w:tcPr/>
          <w:p>
            <w:pPr>
              <w:pStyle w:val="Compact"/>
              <w:jc w:val="left"/>
            </w:pPr>
            <w:r>
              <w:t xml:space="preserve">A/B, 4 emails Day 0/3/6/10</w:t>
            </w:r>
          </w:p>
        </w:tc>
        <w:tc>
          <w:tcPr/>
          <w:p>
            <w:pPr>
              <w:pStyle w:val="Compact"/>
              <w:jc w:val="left"/>
            </w:pPr>
            <w:r>
              <w:t xml:space="preserve">nurture_longterm at end</w:t>
            </w:r>
          </w:p>
        </w:tc>
      </w:tr>
      <w:tr>
        <w:tc>
          <w:tcPr/>
          <w:p>
            <w:pPr>
              <w:pStyle w:val="Compact"/>
              <w:jc w:val="left"/>
            </w:pPr>
            <w:r>
              <w:t xml:space="preserve">WF-15 Synthesis Gap Webhook</w:t>
            </w:r>
          </w:p>
        </w:tc>
        <w:tc>
          <w:tcPr/>
          <w:p>
            <w:pPr>
              <w:pStyle w:val="Compact"/>
              <w:jc w:val="left"/>
            </w:pPr>
            <w:r>
              <w:t xml:space="preserve">Page webhook</w:t>
            </w:r>
          </w:p>
        </w:tc>
        <w:tc>
          <w:tcPr/>
          <w:p>
            <w:pPr>
              <w:pStyle w:val="Compact"/>
              <w:jc w:val="left"/>
            </w:pPr>
            <w:r>
              <w:t xml:space="preserve">Capture Bullseye leads</w:t>
            </w:r>
          </w:p>
        </w:tc>
        <w:tc>
          <w:tcPr/>
          <w:p>
            <w:pPr>
              <w:pStyle w:val="Compact"/>
              <w:jc w:val="left"/>
            </w:pPr>
            <w:r>
              <w:t xml:space="preserve">type_consumer, magnet_lead, drip_bypass, icp_stack_optimizer</w:t>
            </w:r>
          </w:p>
        </w:tc>
      </w:tr>
      <w:tr>
        <w:tc>
          <w:tcPr/>
          <w:p>
            <w:pPr>
              <w:pStyle w:val="Compact"/>
              <w:jc w:val="left"/>
            </w:pPr>
            <w:r>
              <w:t xml:space="preserve">WF-16 Synthesis Gap Emails</w:t>
            </w:r>
          </w:p>
        </w:tc>
        <w:tc>
          <w:tcPr/>
          <w:p>
            <w:pPr>
              <w:pStyle w:val="Compact"/>
              <w:jc w:val="left"/>
            </w:pPr>
            <w:r>
              <w:t xml:space="preserve">Enrolled by WF-15</w:t>
            </w:r>
          </w:p>
        </w:tc>
        <w:tc>
          <w:tcPr/>
          <w:p>
            <w:pPr>
              <w:pStyle w:val="Compact"/>
              <w:jc w:val="left"/>
            </w:pPr>
            <w:r>
              <w:t xml:space="preserve">A/B series</w:t>
            </w:r>
          </w:p>
        </w:tc>
        <w:tc>
          <w:tcPr/>
          <w:p>
            <w:pPr>
              <w:pStyle w:val="Compact"/>
              <w:jc w:val="left"/>
            </w:pPr>
            <w:r>
              <w:t xml:space="preserve">nurture_longterm at end</w:t>
            </w:r>
          </w:p>
        </w:tc>
      </w:tr>
      <w:tr>
        <w:tc>
          <w:tcPr/>
          <w:p>
            <w:pPr>
              <w:pStyle w:val="Compact"/>
              <w:jc w:val="left"/>
            </w:pPr>
            <w:r>
              <w:t xml:space="preserve">WF-17 Long-Term Nurture</w:t>
            </w:r>
          </w:p>
        </w:tc>
        <w:tc>
          <w:tcPr/>
          <w:p>
            <w:pPr>
              <w:pStyle w:val="Compact"/>
              <w:jc w:val="left"/>
            </w:pPr>
            <w:r>
              <w:t xml:space="preserve">nurture_longterm tag</w:t>
            </w:r>
          </w:p>
        </w:tc>
        <w:tc>
          <w:tcPr/>
          <w:p>
            <w:pPr>
              <w:pStyle w:val="Compact"/>
              <w:jc w:val="left"/>
            </w:pPr>
            <w:r>
              <w:t xml:space="preserve">7 emails, shared by all magnet leads</w:t>
            </w:r>
          </w:p>
        </w:tc>
        <w:tc>
          <w:tcPr/>
          <w:p>
            <w:pPr>
              <w:pStyle w:val="Compact"/>
              <w:jc w:val="left"/>
            </w:pPr>
            <w:r>
              <w:t xml:space="preserve">—</w:t>
            </w:r>
          </w:p>
        </w:tc>
      </w:tr>
      <w:tr>
        <w:tc>
          <w:tcPr/>
          <w:p>
            <w:pPr>
              <w:pStyle w:val="Compact"/>
              <w:jc w:val="left"/>
            </w:pPr>
            <w:r>
              <w:t xml:space="preserve">WF-18 Recovery Webhook</w:t>
            </w:r>
          </w:p>
        </w:tc>
        <w:tc>
          <w:tcPr/>
          <w:p>
            <w:pPr>
              <w:pStyle w:val="Compact"/>
              <w:jc w:val="left"/>
            </w:pPr>
            <w:r>
              <w:t xml:space="preserve">Page webhook</w:t>
            </w:r>
          </w:p>
        </w:tc>
        <w:tc>
          <w:tcPr/>
          <w:p>
            <w:pPr>
              <w:pStyle w:val="Compact"/>
              <w:jc w:val="left"/>
            </w:pPr>
            <w:r>
              <w:t xml:space="preserve">Capture Athlete leads</w:t>
            </w:r>
          </w:p>
        </w:tc>
        <w:tc>
          <w:tcPr/>
          <w:p>
            <w:pPr>
              <w:pStyle w:val="Compact"/>
              <w:jc w:val="left"/>
            </w:pPr>
            <w:r>
              <w:t xml:space="preserve">type_consumer, magnet_lead, drip_bypass, icp_athlete</w:t>
            </w:r>
          </w:p>
        </w:tc>
      </w:tr>
      <w:tr>
        <w:tc>
          <w:tcPr/>
          <w:p>
            <w:pPr>
              <w:pStyle w:val="Compact"/>
              <w:jc w:val="left"/>
            </w:pPr>
            <w:r>
              <w:t xml:space="preserve">WF-19 Winter Protocol Webhook</w:t>
            </w:r>
          </w:p>
        </w:tc>
        <w:tc>
          <w:tcPr/>
          <w:p>
            <w:pPr>
              <w:pStyle w:val="Compact"/>
              <w:jc w:val="left"/>
            </w:pPr>
            <w:r>
              <w:t xml:space="preserve">Page webhook</w:t>
            </w:r>
          </w:p>
        </w:tc>
        <w:tc>
          <w:tcPr/>
          <w:p>
            <w:pPr>
              <w:pStyle w:val="Compact"/>
              <w:jc w:val="left"/>
            </w:pPr>
            <w:r>
              <w:t xml:space="preserve">Capture SAD leads</w:t>
            </w:r>
          </w:p>
        </w:tc>
        <w:tc>
          <w:tcPr/>
          <w:p>
            <w:pPr>
              <w:pStyle w:val="Compact"/>
              <w:jc w:val="left"/>
            </w:pPr>
            <w:r>
              <w:t xml:space="preserve">type_consumer, source_lead_magnet, magnet_winter_protocol, status_new, icp_sad, magnet_lead, drip_bypass</w:t>
            </w:r>
          </w:p>
        </w:tc>
      </w:tr>
      <w:tr>
        <w:tc>
          <w:tcPr/>
          <w:p>
            <w:pPr>
              <w:pStyle w:val="Compact"/>
              <w:jc w:val="left"/>
            </w:pPr>
            <w:r>
              <w:t xml:space="preserve">WF-20 Winter Protocol Emails</w:t>
            </w:r>
          </w:p>
        </w:tc>
        <w:tc>
          <w:tcPr/>
          <w:p>
            <w:pPr>
              <w:pStyle w:val="Compact"/>
              <w:jc w:val="left"/>
            </w:pPr>
            <w:r>
              <w:t xml:space="preserve">Contact Tag</w:t>
            </w:r>
            <w:r>
              <w:t xml:space="preserve"> </w:t>
            </w:r>
            <w:r>
              <w:t xml:space="preserve">(magnet_winter_protoco</w:t>
            </w:r>
          </w:p>
        </w:tc>
        <w:tc>
          <w:tcPr/>
          <w:p>
            <w:pPr>
              <w:pStyle w:val="Compact"/>
              <w:jc w:val="left"/>
            </w:pPr>
            <w:r>
              <w:t xml:space="preserve">3 emails, seasonal 3A/3B split</w:t>
            </w:r>
            <w:r>
              <w:t xml:space="preserve"> </w:t>
            </w:r>
            <w:r>
              <w:t xml:space="preserve">l)</w:t>
            </w:r>
          </w:p>
        </w:tc>
        <w:tc>
          <w:tcPr/>
          <w:p>
            <w:pPr>
              <w:pStyle w:val="Compact"/>
              <w:jc w:val="left"/>
            </w:pPr>
            <w:r>
              <w:t xml:space="preserve">nurture_longterm at end</w:t>
            </w:r>
          </w:p>
        </w:tc>
      </w:tr>
    </w:tbl>
    <w:bookmarkEnd w:id="52"/>
    <w:bookmarkStart w:id="53" w:name="X8b635a9b8e26577bc07542dc589df6fb2ab55bd"/>
    <w:p>
      <w:pPr>
        <w:pStyle w:val="Heading2"/>
      </w:pPr>
      <w:r>
        <w:t xml:space="preserve">WF-21 through WF-26 (added Sessions 9 and 10, all LIVE)</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5000"/>
        <w:tblLayout w:type="fixed"/>
        <w:tblLook w:firstRow="1" w:lastRow="0" w:firstColumn="0" w:lastColumn="0" w:noHBand="0" w:noVBand="0" w:val="0020"/>
      </w:tblPr>
      <w:tblGrid>
        <w:gridCol w:w="1885"/>
        <w:gridCol w:w="1697"/>
        <w:gridCol w:w="1697"/>
        <w:gridCol w:w="2640"/>
      </w:tblGrid>
      <w:tr>
        <w:trPr>
          <w:tblHeader w:val="on"/>
        </w:trPr>
        <w:tc>
          <w:tcPr/>
          <w:p>
            <w:pPr>
              <w:pStyle w:val="Compact"/>
            </w:pPr>
            <w:r>
              <w:t xml:space="preserve">Workflow</w:t>
            </w:r>
          </w:p>
        </w:tc>
        <w:tc>
          <w:tcPr/>
          <w:p>
            <w:pPr>
              <w:pStyle w:val="Compact"/>
            </w:pPr>
            <w:r>
              <w:t xml:space="preserve">Trigger</w:t>
            </w:r>
          </w:p>
        </w:tc>
        <w:tc>
          <w:tcPr/>
          <w:p>
            <w:pPr>
              <w:pStyle w:val="Compact"/>
            </w:pPr>
            <w:r>
              <w:t xml:space="preserve">Purpose</w:t>
            </w:r>
          </w:p>
        </w:tc>
        <w:tc>
          <w:tcPr/>
          <w:p>
            <w:pPr>
              <w:pStyle w:val="Compact"/>
            </w:pPr>
            <w:r>
              <w:t xml:space="preserve">Tags / Notes</w:t>
            </w:r>
          </w:p>
        </w:tc>
      </w:tr>
      <w:tr>
        <w:tc>
          <w:tcPr/>
          <w:p>
            <w:pPr>
              <w:pStyle w:val="Compact"/>
            </w:pPr>
            <w:r>
              <w:t xml:space="preserve">WF-21 Vitamin D Assessment Capture</w:t>
            </w:r>
          </w:p>
        </w:tc>
        <w:tc>
          <w:tcPr/>
          <w:p>
            <w:pPr>
              <w:pStyle w:val="Compact"/>
            </w:pPr>
            <w:r>
              <w:t xml:space="preserve">Inbound Webhook</w:t>
            </w:r>
          </w:p>
        </w:tc>
        <w:tc>
          <w:tcPr/>
          <w:p>
            <w:pPr>
              <w:pStyle w:val="Compact"/>
            </w:pPr>
            <w:r>
              <w:t xml:space="preserve">Capture assessment leads, create contact with 11 fields, results email</w:t>
            </w:r>
          </w:p>
        </w:tc>
        <w:tc>
          <w:tcPr/>
          <w:p>
            <w:pPr>
              <w:pStyle w:val="Compact"/>
            </w:pPr>
            <w:r>
              <w:t xml:space="preserve">type_consumer, source_lead_magnet, status_new, magnet_lead, drip_bypass, magnet_vitamin_d_assessment (Standard) plus Dynamic tags from the quiz payload</w:t>
            </w:r>
          </w:p>
        </w:tc>
      </w:tr>
      <w:tr>
        <w:tc>
          <w:tcPr/>
          <w:p>
            <w:pPr>
              <w:pStyle w:val="Compact"/>
            </w:pPr>
            <w:r>
              <w:t xml:space="preserve">WF-22 Vitamin D Assessment Nurture</w:t>
            </w:r>
          </w:p>
        </w:tc>
        <w:tc>
          <w:tcPr/>
          <w:p>
            <w:pPr>
              <w:pStyle w:val="Compact"/>
            </w:pPr>
            <w:r>
              <w:t xml:space="preserve">Contact Tag (magnet_vitamin_d_assessment)</w:t>
            </w:r>
          </w:p>
        </w:tc>
        <w:tc>
          <w:tcPr/>
          <w:p>
            <w:pPr>
              <w:pStyle w:val="Compact"/>
            </w:pPr>
            <w:r>
              <w:t xml:space="preserve">3-email solution-aware series, then Add to WF-17</w:t>
            </w:r>
          </w:p>
        </w:tc>
        <w:tc>
          <w:tcPr/>
          <w:p>
            <w:pPr>
              <w:pStyle w:val="Compact"/>
            </w:pPr>
            <w:r>
              <w:t xml:space="preserve">nurture_longterm at end</w:t>
            </w:r>
          </w:p>
        </w:tc>
      </w:tr>
      <w:tr>
        <w:tc>
          <w:tcPr/>
          <w:p>
            <w:pPr>
              <w:pStyle w:val="Compact"/>
            </w:pPr>
            <w:r>
              <w:t xml:space="preserve">WF-25 Testimonial Request</w:t>
            </w:r>
          </w:p>
        </w:tc>
        <w:tc>
          <w:tcPr/>
          <w:p>
            <w:pPr>
              <w:pStyle w:val="Compact"/>
            </w:pPr>
            <w:r>
              <w:t xml:space="preserve">Contact Tag (request_testimonial)</w:t>
            </w:r>
          </w:p>
        </w:tc>
        <w:tc>
          <w:tcPr/>
          <w:p>
            <w:pPr>
              <w:pStyle w:val="Compact"/>
            </w:pPr>
            <w:r>
              <w:t xml:space="preserve">Hand-picked ask. If/Else on seg_facility routes facility vs consumer email</w:t>
            </w:r>
          </w:p>
        </w:tc>
        <w:tc>
          <w:tcPr/>
          <w:p>
            <w:pPr>
              <w:pStyle w:val="Compact"/>
            </w:pPr>
            <w:r>
              <w:t xml:space="preserve">one email per branch, branches terminal. Re-Entry Off</w:t>
            </w:r>
          </w:p>
        </w:tc>
      </w:tr>
      <w:tr>
        <w:tc>
          <w:tcPr/>
          <w:p>
            <w:pPr>
              <w:pStyle w:val="Compact"/>
            </w:pPr>
            <w:r>
              <w:t xml:space="preserve">WF-26 Testimonial Received</w:t>
            </w:r>
          </w:p>
        </w:tc>
        <w:tc>
          <w:tcPr/>
          <w:p>
            <w:pPr>
              <w:pStyle w:val="Compact"/>
            </w:pPr>
            <w:r>
              <w:t xml:space="preserve">Form Submitted (Customer Testimonial Form)</w:t>
            </w:r>
          </w:p>
        </w:tc>
        <w:tc>
          <w:tcPr/>
          <w:p>
            <w:pPr>
              <w:pStyle w:val="Compact"/>
            </w:pPr>
            <w:r>
              <w:t xml:space="preserve">Handle response: notify Scott, queue gift card, thank-you</w:t>
            </w:r>
          </w:p>
        </w:tc>
        <w:tc>
          <w:tcPr/>
          <w:p>
            <w:pPr>
              <w:pStyle w:val="Compact"/>
            </w:pPr>
            <w:r>
              <w:t xml:space="preserve">applies testimonial_submitted, gift_card_pending. Re-Entry Off</w:t>
            </w:r>
          </w:p>
        </w:tc>
      </w:tr>
      <w:tr>
        <w:tc>
          <w:tcPr/>
          <w:p>
            <w:pPr>
              <w:pStyle w:val="Compact"/>
            </w:pPr>
            <w:r>
              <w:t xml:space="preserve">WF-27 Shopify New Customer Tagging</w:t>
            </w:r>
          </w:p>
        </w:tc>
        <w:tc>
          <w:tcPr/>
          <w:p>
            <w:pPr>
              <w:pStyle w:val="Compact"/>
            </w:pPr>
            <w:r>
              <w:t xml:space="preserve">Shopify order placed</w:t>
            </w:r>
          </w:p>
        </w:tc>
        <w:tc>
          <w:tcPr/>
          <w:p>
            <w:pPr>
              <w:pStyle w:val="Compact"/>
            </w:pPr>
            <w:r>
              <w:t xml:space="preserve">Shield new buyers from lead nurture, flag as customer</w:t>
            </w:r>
          </w:p>
        </w:tc>
        <w:tc>
          <w:tcPr/>
          <w:p>
            <w:pPr>
              <w:pStyle w:val="Compact"/>
            </w:pPr>
            <w:r>
              <w:t xml:space="preserve">applies drip_bypass, source_shopify, status_customer. Re-Entry On</w:t>
            </w:r>
          </w:p>
        </w:tc>
      </w:tr>
      <w:tr>
        <w:tc>
          <w:tcPr/>
          <w:p>
            <w:pPr>
              <w:pStyle w:val="Compact"/>
            </w:pPr>
            <w:r>
              <w:t xml:space="preserve">WF-28 Shopify Order Fulfilled</w:t>
            </w:r>
          </w:p>
        </w:tc>
        <w:tc>
          <w:tcPr/>
          <w:p>
            <w:pPr>
              <w:pStyle w:val="Compact"/>
            </w:pPr>
            <w:r>
              <w:t xml:space="preserve">Order fulfilled</w:t>
            </w:r>
          </w:p>
        </w:tc>
        <w:tc>
          <w:tcPr/>
          <w:p>
            <w:pPr>
              <w:pStyle w:val="Compact"/>
            </w:pPr>
            <w:r>
              <w:t xml:space="preserve">Apply unit_shipped to trigger WF-06 onboarding</w:t>
            </w:r>
          </w:p>
        </w:tc>
        <w:tc>
          <w:tcPr/>
          <w:p>
            <w:pPr>
              <w:pStyle w:val="Compact"/>
            </w:pPr>
            <w:r>
              <w:t xml:space="preserve">Re-Entry On</w:t>
            </w:r>
          </w:p>
        </w:tc>
      </w:tr>
      <w:tr>
        <w:tc>
          <w:tcPr/>
          <w:p>
            <w:pPr>
              <w:pStyle w:val="Compact"/>
            </w:pPr>
            <w:r>
              <w:t xml:space="preserve">WF-29 Abandoned Checkout Recovery</w:t>
            </w:r>
          </w:p>
        </w:tc>
        <w:tc>
          <w:tcPr/>
          <w:p>
            <w:pPr>
              <w:pStyle w:val="Compact"/>
            </w:pPr>
            <w:r>
              <w:t xml:space="preserve">Inbound Webhook (from Railway service)</w:t>
            </w:r>
          </w:p>
        </w:tc>
        <w:tc>
          <w:tcPr/>
          <w:p>
            <w:pPr>
              <w:pStyle w:val="Compact"/>
            </w:pPr>
            <w:r>
              <w:t xml:space="preserve">3-email reassurance recovery, buyer stop-check</w:t>
            </w:r>
          </w:p>
        </w:tc>
        <w:tc>
          <w:tcPr/>
          <w:p>
            <w:pPr>
              <w:pStyle w:val="Compact"/>
            </w:pPr>
            <w:r>
              <w:t xml:space="preserve">tags abandoned_checkout, drip_bypass, source_shopify. Re-Entry On, Stop on Response On</w:t>
            </w:r>
          </w:p>
        </w:tc>
      </w:tr>
    </w:tbl>
    <w:bookmarkEnd w:id="53"/>
    <w:bookmarkStart w:id="54" w:name="X9810ec7f62b2338d56466c983e3d36a26fc107d"/>
    <w:p>
      <w:pPr>
        <w:pStyle w:val="Heading2"/>
      </w:pPr>
      <w:r>
        <w:t xml:space="preserve">WF-30 through WF-35 (added Sessions 15 and 16)</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5000"/>
        <w:tblLayout w:type="fixed"/>
        <w:tblLook w:firstRow="1" w:lastRow="0" w:firstColumn="0" w:lastColumn="0" w:noHBand="0" w:noVBand="0" w:val="0020"/>
      </w:tblPr>
      <w:tblGrid>
        <w:gridCol w:w="2262"/>
        <w:gridCol w:w="2036"/>
        <w:gridCol w:w="2036"/>
        <w:gridCol w:w="1584"/>
      </w:tblGrid>
      <w:tr>
        <w:trPr>
          <w:tblHeader w:val="on"/>
        </w:trPr>
        <w:tc>
          <w:tcPr/>
          <w:p>
            <w:pPr>
              <w:pStyle w:val="Compact"/>
            </w:pPr>
            <w:r>
              <w:t xml:space="preserve">Workflow</w:t>
            </w:r>
          </w:p>
        </w:tc>
        <w:tc>
          <w:tcPr/>
          <w:p>
            <w:pPr>
              <w:pStyle w:val="Compact"/>
            </w:pPr>
            <w:r>
              <w:t xml:space="preserve">Trigger</w:t>
            </w:r>
          </w:p>
        </w:tc>
        <w:tc>
          <w:tcPr/>
          <w:p>
            <w:pPr>
              <w:pStyle w:val="Compact"/>
            </w:pPr>
            <w:r>
              <w:t xml:space="preserve">Purpose</w:t>
            </w:r>
          </w:p>
        </w:tc>
        <w:tc>
          <w:tcPr/>
          <w:p>
            <w:pPr>
              <w:pStyle w:val="Compact"/>
            </w:pPr>
            <w:r>
              <w:t xml:space="preserve">Notes</w:t>
            </w:r>
          </w:p>
        </w:tc>
      </w:tr>
      <w:tr>
        <w:tc>
          <w:tcPr/>
          <w:p>
            <w:pPr>
              <w:pStyle w:val="Compact"/>
            </w:pPr>
            <w:r>
              <w:t xml:space="preserve">WF-30 FlexOffers Sale Postback</w:t>
            </w:r>
          </w:p>
        </w:tc>
        <w:tc>
          <w:tcPr/>
          <w:p>
            <w:pPr>
              <w:pStyle w:val="Compact"/>
            </w:pPr>
            <w:r>
              <w:t xml:space="preserve">Shopify Order fulfilled (Home System filter)</w:t>
            </w:r>
          </w:p>
        </w:tc>
        <w:tc>
          <w:tcPr/>
          <w:p>
            <w:pPr>
              <w:pStyle w:val="Compact"/>
            </w:pPr>
            <w:r>
              <w:t xml:space="preserve">Fire the S2S postback that pays the affiliate $600</w:t>
            </w:r>
          </w:p>
        </w:tc>
        <w:tc>
          <w:tcPr/>
          <w:p>
            <w:pPr>
              <w:pStyle w:val="Compact"/>
            </w:pPr>
            <w:r>
              <w:rPr>
                <w:rStyle w:val="VerbatimChar"/>
              </w:rPr>
              <w:t xml:space="preserve">{{order.number}}</w:t>
            </w:r>
            <w:r>
              <w:t xml:space="preserve"> </w:t>
            </w:r>
            <w:r>
              <w:t xml:space="preserve">and</w:t>
            </w:r>
            <w:r>
              <w:t xml:space="preserve"> </w:t>
            </w:r>
            <w:r>
              <w:rPr>
                <w:rStyle w:val="VerbatimChar"/>
              </w:rPr>
              <w:t xml:space="preserve">{{order.subtotal_price}}</w:t>
            </w:r>
            <w:r>
              <w:t xml:space="preserve"> </w:t>
            </w:r>
            <w:r>
              <w:t xml:space="preserve">remain UNVERIFIED. Check Execution Logs on the first real affiliate sale.</w:t>
            </w:r>
          </w:p>
        </w:tc>
      </w:tr>
      <w:tr>
        <w:tc>
          <w:tcPr/>
          <w:p>
            <w:pPr>
              <w:pStyle w:val="Compact"/>
            </w:pPr>
            <w:r>
              <w:t xml:space="preserve">WF-31 FlexOffers First Touch</w:t>
            </w:r>
          </w:p>
        </w:tc>
        <w:tc>
          <w:tcPr/>
          <w:p>
            <w:pPr>
              <w:pStyle w:val="Compact"/>
            </w:pPr>
            <w:r>
              <w:rPr>
                <w:b/>
                <w:bCs/>
              </w:rPr>
              <w:t xml:space="preserve">Contact Created</w:t>
            </w:r>
            <w:r>
              <w:t xml:space="preserve"> </w:t>
            </w:r>
            <w:r>
              <w:t xml:space="preserve">(unfiltered)</w:t>
            </w:r>
          </w:p>
        </w:tc>
        <w:tc>
          <w:tcPr/>
          <w:p>
            <w:pPr>
              <w:pStyle w:val="Compact"/>
            </w:pPr>
            <w:r>
              <w:t xml:space="preserve">Enforce first-in + new-contacts-only attribution</w:t>
            </w:r>
          </w:p>
        </w:tc>
        <w:tc>
          <w:tcPr/>
          <w:p>
            <w:pPr>
              <w:pStyle w:val="Compact"/>
            </w:pPr>
            <w:r>
              <w:t xml:space="preserve">Wait 2 minutes so custom fields finish writing, then copy</w:t>
            </w:r>
            <w:r>
              <w:t xml:space="preserve"> </w:t>
            </w:r>
            <w:r>
              <w:rPr>
                <w:rStyle w:val="VerbatimChar"/>
              </w:rPr>
              <w:t xml:space="preserve">flexoffers_refid_incoming</w:t>
            </w:r>
            <w:r>
              <w:t xml:space="preserve"> </w:t>
            </w:r>
            <w:r>
              <w:t xml:space="preserve">to</w:t>
            </w:r>
            <w:r>
              <w:t xml:space="preserve"> </w:t>
            </w:r>
            <w:r>
              <w:rPr>
                <w:rStyle w:val="VerbatimChar"/>
              </w:rPr>
              <w:t xml:space="preserve">flexoffers_refid</w:t>
            </w:r>
            <w:r>
              <w:t xml:space="preserve"> </w:t>
            </w:r>
            <w:r>
              <w:t xml:space="preserve">only when the latter is empty.</w:t>
            </w:r>
            <w:r>
              <w:t xml:space="preserve"> </w:t>
            </w:r>
            <w:r>
              <w:rPr>
                <w:b/>
                <w:bCs/>
              </w:rPr>
              <w:t xml:space="preserve">A second Contact Created trigger, which the Session 10 audit predates. Any import must re-check for Contact Created triggers rather than trusting that audit.</w:t>
            </w:r>
          </w:p>
        </w:tc>
      </w:tr>
      <w:tr>
        <w:tc>
          <w:tcPr/>
          <w:p>
            <w:pPr>
              <w:pStyle w:val="Compact"/>
            </w:pPr>
            <w:r>
              <w:t xml:space="preserve">WF-32 / 33 / 34 Device App Integration</w:t>
            </w:r>
          </w:p>
        </w:tc>
        <w:tc>
          <w:tcPr/>
          <w:p>
            <w:pPr>
              <w:pStyle w:val="Compact"/>
            </w:pPr>
            <w:r>
              <w:t xml:space="preserve">Inbound Webhook (Outcode)</w:t>
            </w:r>
          </w:p>
        </w:tc>
        <w:tc>
          <w:tcPr/>
          <w:p>
            <w:pPr>
              <w:pStyle w:val="Compact"/>
            </w:pPr>
            <w:r>
              <w:t xml:space="preserve">New users on existing devices</w:t>
            </w:r>
          </w:p>
        </w:tc>
        <w:tc>
          <w:tcPr/>
          <w:p>
            <w:pPr>
              <w:pStyle w:val="Compact"/>
            </w:pPr>
            <w:r>
              <w:rPr>
                <w:b/>
                <w:bCs/>
              </w:rPr>
              <w:t xml:space="preserve">NOT BUILT.</w:t>
            </w:r>
            <w:r>
              <w:t xml:space="preserve"> </w:t>
            </w:r>
            <w:r>
              <w:t xml:space="preserve">Awaiting Outcode. Spec sent, four webhook URLs delivered. WF-01’s</w:t>
            </w:r>
            <w:r>
              <w:t xml:space="preserve"> </w:t>
            </w:r>
            <w:r>
              <w:rPr>
                <w:rStyle w:val="VerbatimChar"/>
              </w:rPr>
              <w:t xml:space="preserve">source_device_app</w:t>
            </w:r>
            <w:r>
              <w:t xml:space="preserve"> </w:t>
            </w:r>
            <w:r>
              <w:t xml:space="preserve">guard is already in place ahead of it.</w:t>
            </w:r>
          </w:p>
        </w:tc>
      </w:tr>
      <w:tr>
        <w:tc>
          <w:tcPr/>
          <w:p>
            <w:pPr>
              <w:pStyle w:val="Compact"/>
            </w:pPr>
            <w:r>
              <w:t xml:space="preserve">WF-35 Customer Replied Notification</w:t>
            </w:r>
          </w:p>
        </w:tc>
        <w:tc>
          <w:tcPr/>
          <w:p>
            <w:pPr>
              <w:pStyle w:val="Compact"/>
            </w:pPr>
            <w:r>
              <w:rPr>
                <w:b/>
                <w:bCs/>
              </w:rPr>
              <w:t xml:space="preserve">Customer Replied</w:t>
            </w:r>
            <w:r>
              <w:t xml:space="preserve"> </w:t>
            </w:r>
            <w:r>
              <w:t xml:space="preserve">(no filters)</w:t>
            </w:r>
          </w:p>
        </w:tc>
        <w:tc>
          <w:tcPr/>
          <w:p>
            <w:pPr>
              <w:pStyle w:val="Compact"/>
            </w:pPr>
            <w:r>
              <w:t xml:space="preserve">Put the actual reply text in an email to whoever owns the contact</w:t>
            </w:r>
          </w:p>
        </w:tc>
        <w:tc>
          <w:tcPr/>
          <w:p>
            <w:pPr>
              <w:pStyle w:val="Compact"/>
            </w:pPr>
            <w:r>
              <w:t xml:space="preserve">LIVE and fully verified Aug 4. If/Else on</w:t>
            </w:r>
            <w:r>
              <w:t xml:space="preserve"> </w:t>
            </w:r>
            <w:r>
              <w:rPr>
                <w:rStyle w:val="VerbatimChar"/>
              </w:rPr>
              <w:t xml:space="preserve">Assigned user Is not empty</w:t>
            </w:r>
            <w:r>
              <w:t xml:space="preserve">; the None branch notifies Scott with a</w:t>
            </w:r>
            <w:r>
              <w:t xml:space="preserve"> </w:t>
            </w:r>
            <w:r>
              <w:rPr>
                <w:rStyle w:val="VerbatimChar"/>
              </w:rPr>
              <w:t xml:space="preserve">NO OWNER:</w:t>
            </w:r>
            <w:r>
              <w:t xml:space="preserve"> </w:t>
            </w:r>
            <w:r>
              <w:t xml:space="preserve">subject prefix. Allow Re-Entry ON, verified. Full capture in</w:t>
            </w:r>
            <w:r>
              <w:t xml:space="preserve"> </w:t>
            </w:r>
            <w:r>
              <w:rPr>
                <w:rStyle w:val="VerbatimChar"/>
              </w:rPr>
              <w:t xml:space="preserve">campaigns/WF-35-customer-replied.md</w:t>
            </w:r>
            <w:r>
              <w:t xml:space="preserve">.</w:t>
            </w:r>
          </w:p>
        </w:tc>
      </w:tr>
    </w:tbl>
    <w:p>
      <w:pPr>
        <w:pStyle w:val="BodyText"/>
      </w:pPr>
      <w:r>
        <w:rPr>
          <w:b/>
          <w:bCs/>
        </w:rPr>
        <w:t xml:space="preserve">Why WF-35 exists.</w:t>
      </w:r>
      <w:r>
        <w:t xml:space="preserve"> </w:t>
      </w:r>
      <w:r>
        <w:t xml:space="preserve">GHL’s built-in Conversation Notification carries no message text, proven with a marker string, and its reply path addresses</w:t>
      </w:r>
      <w:r>
        <w:t xml:space="preserve"> </w:t>
      </w:r>
      <w:r>
        <w:rPr>
          <w:rStyle w:val="VerbatimChar"/>
        </w:rPr>
        <w:t xml:space="preserve">scott@mg.enyrgy.com</w:t>
      </w:r>
      <w:r>
        <w:t xml:space="preserve">, Scott’s own sending-subdomain address, so replying to it reaches nobody without erroring.</w:t>
      </w:r>
    </w:p>
    <w:p>
      <w:pPr>
        <w:pStyle w:val="BodyText"/>
      </w:pPr>
      <w:r>
        <w:rPr>
          <w:b/>
          <w:bCs/>
        </w:rPr>
        <w:t xml:space="preserve">Live campaign copy is not in this guide.</w:t>
      </w:r>
      <w:r>
        <w:t xml:space="preserve"> </w:t>
      </w:r>
      <w:r>
        <w:t xml:space="preserve">Every email and SMS across all 19 workflows lives in</w:t>
      </w:r>
      <w:r>
        <w:t xml:space="preserve"> </w:t>
      </w:r>
      <w:r>
        <w:rPr>
          <w:rStyle w:val="VerbatimChar"/>
        </w:rPr>
        <w:t xml:space="preserve">campaigns/</w:t>
      </w:r>
      <w:r>
        <w:t xml:space="preserve">, one file per workflow, captured from GHL with a per-workflow change log. GHL remains the source of truth: change GHL first, then update the file.</w:t>
      </w:r>
    </w:p>
    <w:p>
      <w:pPr>
        <w:pStyle w:val="BodyText"/>
      </w:pPr>
      <w:r>
        <w:rPr>
          <w:b/>
          <w:bCs/>
        </w:rPr>
        <w:t xml:space="preserve">Testimonial routing tag:</w:t>
      </w:r>
      <w:r>
        <w:t xml:space="preserve"> </w:t>
      </w:r>
      <w:r>
        <w:rPr>
          <w:rStyle w:val="VerbatimChar"/>
        </w:rPr>
        <w:t xml:space="preserve">seg_facility</w:t>
      </w:r>
      <w:r>
        <w:t xml:space="preserve"> </w:t>
      </w:r>
      <w:r>
        <w:t xml:space="preserve">is a neutral segmentation tag used only by WF-25’s If/Else. It is deliberately NOT a drip trigger, so tagging facilities never enrolls them in the Commercial Drip.</w:t>
      </w:r>
    </w:p>
    <w:p>
      <w:pPr>
        <w:pStyle w:val="BodyText"/>
      </w:pPr>
      <w:r>
        <w:rPr>
          <w:b/>
          <w:bCs/>
        </w:rPr>
        <w:t xml:space="preserve">Drip bypass-gate gap (CLOSED Session 11):</w:t>
      </w:r>
      <w:r>
        <w:t xml:space="preserve"> </w:t>
      </w:r>
      <w:r>
        <w:t xml:space="preserve">all five drips now open with a</w:t>
      </w:r>
      <w:r>
        <w:t xml:space="preserve"> </w:t>
      </w:r>
      <w:r>
        <w:rPr>
          <w:rStyle w:val="VerbatimChar"/>
        </w:rPr>
        <w:t xml:space="preserve">NOT drip_bypass</w:t>
      </w:r>
      <w:r>
        <w:t xml:space="preserve"> </w:t>
      </w:r>
      <w:r>
        <w:t xml:space="preserve">If/Else gate. The Commercial, Partner, and Investor Warm drips previously lacked it and had it added in Session 11, so</w:t>
      </w:r>
      <w:r>
        <w:t xml:space="preserve"> </w:t>
      </w:r>
      <w:r>
        <w:rPr>
          <w:rStyle w:val="VerbatimChar"/>
        </w:rPr>
        <w:t xml:space="preserve">drip_bypass</w:t>
      </w:r>
      <w:r>
        <w:t xml:space="preserve"> </w:t>
      </w:r>
      <w:r>
        <w:t xml:space="preserve">now reliably suppresses every drip.</w:t>
      </w:r>
    </w:p>
    <w:p>
      <w:pPr>
        <w:pStyle w:val="BodyText"/>
      </w:pPr>
      <w:r>
        <w:rPr>
          <w:b/>
          <w:bCs/>
        </w:rPr>
        <w:t xml:space="preserve">Investor Drip Touch 7 (updated Session 11):</w:t>
      </w:r>
      <w:r>
        <w:t xml:space="preserve"> </w:t>
      </w:r>
      <w:r>
        <w:t xml:space="preserve">the accreditation gate was removed from PPM delivery. The PPM now sends to all interested investors at Touch 7 (post-intro-meeting) per the attorney rule; the accreditation nudge stays for non-accredited investors. Accreditation remains required before commitment/subscription/wire (pipeline stages, unchanged). Open: confirm the PPM email copy is accreditation-neutral.</w:t>
      </w:r>
    </w:p>
    <w:p>
      <w:pPr>
        <w:pStyle w:val="BodyText"/>
      </w:pPr>
      <w:r>
        <w:rPr>
          <w:b/>
          <w:bCs/>
        </w:rPr>
        <w:t xml:space="preserve">Shopify (connected Session 11):</w:t>
      </w:r>
      <w:r>
        <w:t xml:space="preserve"> </w:t>
      </w:r>
      <w:r>
        <w:t xml:space="preserve">the GHL LeadConnector native integration is live for store</w:t>
      </w:r>
      <w:r>
        <w:t xml:space="preserve"> </w:t>
      </w:r>
      <w:r>
        <w:rPr>
          <w:rStyle w:val="VerbatimChar"/>
        </w:rPr>
        <w:t xml:space="preserve">enyrgy</w:t>
      </w:r>
      <w:r>
        <w:t xml:space="preserve">. Historical orders and products backfilled; contacts merge on email; ongoing Contact/Order/Product sync on with the Order Received trigger enabled. WF-27 tags new buyers</w:t>
      </w:r>
      <w:r>
        <w:t xml:space="preserve"> </w:t>
      </w:r>
      <w:r>
        <w:rPr>
          <w:rStyle w:val="VerbatimChar"/>
        </w:rPr>
        <w:t xml:space="preserve">drip_bypass</w:t>
      </w:r>
      <w:r>
        <w:t xml:space="preserve"> </w:t>
      </w:r>
      <w:r>
        <w:t xml:space="preserve">so they skip lead nurture. Remaining: an Order-fulfilled workflow to apply</w:t>
      </w:r>
      <w:r>
        <w:t xml:space="preserve"> </w:t>
      </w:r>
      <w:r>
        <w:rPr>
          <w:rStyle w:val="VerbatimChar"/>
        </w:rPr>
        <w:t xml:space="preserve">unit_shipped</w:t>
      </w:r>
      <w:r>
        <w:t xml:space="preserve"> </w:t>
      </w:r>
      <w:r>
        <w:t xml:space="preserve">(feeds WF-06 onboarding), and the abandoned-checkout webhook (developer).</w:t>
      </w:r>
    </w:p>
    <w:bookmarkEnd w:id="54"/>
    <w:bookmarkStart w:id="55" w:name="X2641a18717343a2a2c6fd2506cd768d5e543fc6"/>
    <w:p>
      <w:pPr>
        <w:pStyle w:val="Heading2"/>
      </w:pPr>
      <w:r>
        <w:t xml:space="preserve">Contact custom fields and base (Session 10)</w:t>
      </w:r>
    </w:p>
    <w:p>
      <w:pPr>
        <w:pStyle w:val="FirstParagraph"/>
      </w:pPr>
      <w:r>
        <w:t xml:space="preserve">Seven health-profile custom fields added to the Contact object (folder</w:t>
      </w:r>
      <w:r>
        <w:t xml:space="preserve"> </w:t>
      </w:r>
      <w:r>
        <w:t xml:space="preserve">“Health Profile”</w:t>
      </w:r>
      <w:r>
        <w:t xml:space="preserve">): Registration Date (Date), Skin Type (Single Options 1-6), Gender (Single Options Male/Female), Height (Text, ft/in), Weight (Number, lbs), Vitamin D Level (Number, ng/mL). Age was intentionally skipped (derivable from birthdate). Birthdate uses GHL’s native Date of Birth field.</w:t>
      </w:r>
    </w:p>
    <w:p>
      <w:pPr>
        <w:pStyle w:val="BodyText"/>
      </w:pPr>
      <w:r>
        <w:t xml:space="preserve">Existing customer base imported: 617 contacts, tagged</w:t>
      </w:r>
      <w:r>
        <w:t xml:space="preserve"> </w:t>
      </w:r>
      <w:r>
        <w:rPr>
          <w:rStyle w:val="VerbatimChar"/>
        </w:rPr>
        <w:t xml:space="preserve">drip_bypass</w:t>
      </w:r>
      <w:r>
        <w:t xml:space="preserve"> </w:t>
      </w:r>
      <w:r>
        <w:t xml:space="preserve">and</w:t>
      </w:r>
      <w:r>
        <w:t xml:space="preserve"> </w:t>
      </w:r>
      <w:r>
        <w:rPr>
          <w:rStyle w:val="VerbatimChar"/>
        </w:rPr>
        <w:t xml:space="preserve">legacy_customer</w:t>
      </w:r>
      <w:r>
        <w:t xml:space="preserve">, with 24 facility contacts also carrying</w:t>
      </w:r>
      <w:r>
        <w:t xml:space="preserve"> </w:t>
      </w:r>
      <w:r>
        <w:rPr>
          <w:rStyle w:val="VerbatimChar"/>
        </w:rPr>
        <w:t xml:space="preserve">seg_facility</w:t>
      </w:r>
      <w:r>
        <w:t xml:space="preserve">. Held in the</w:t>
      </w:r>
      <w:r>
        <w:t xml:space="preserve"> </w:t>
      </w:r>
      <w:r>
        <w:t xml:space="preserve">“Initial Customer Load 7-7-26”</w:t>
      </w:r>
      <w:r>
        <w:t xml:space="preserve"> </w:t>
      </w:r>
      <w:r>
        <w:t xml:space="preserve">Smartlist. Safe-import method: WF-01 (the only Contact Created trigger) unpublished during import; zero</w:t>
      </w:r>
      <w:r>
        <w:t xml:space="preserve"> </w:t>
      </w:r>
      <w:r>
        <w:rPr>
          <w:rStyle w:val="VerbatimChar"/>
        </w:rPr>
        <w:t xml:space="preserve">type_</w:t>
      </w:r>
      <w:r>
        <w:t xml:space="preserve">,</w:t>
      </w:r>
      <w:r>
        <w:t xml:space="preserve"> </w:t>
      </w:r>
      <w:r>
        <w:rPr>
          <w:rStyle w:val="VerbatimChar"/>
        </w:rPr>
        <w:t xml:space="preserve">status_</w:t>
      </w:r>
      <w:r>
        <w:t xml:space="preserve">,</w:t>
      </w:r>
      <w:r>
        <w:t xml:space="preserve"> </w:t>
      </w:r>
      <w:r>
        <w:rPr>
          <w:rStyle w:val="VerbatimChar"/>
        </w:rPr>
        <w:t xml:space="preserve">unit_</w:t>
      </w:r>
      <w:r>
        <w:t xml:space="preserve">, or</w:t>
      </w:r>
      <w:r>
        <w:t xml:space="preserve"> </w:t>
      </w:r>
      <w:r>
        <w:rPr>
          <w:rStyle w:val="VerbatimChar"/>
        </w:rPr>
        <w:t xml:space="preserve">investor</w:t>
      </w:r>
      <w:r>
        <w:t xml:space="preserve"> </w:t>
      </w:r>
      <w:r>
        <w:t xml:space="preserve">tags imported so no drip or workflow enrolled them; GHL merges same-email contacts, so shared-email households were split by blanking the child’s email while keeping name and phone.</w:t>
      </w:r>
    </w:p>
    <w:p>
      <w:pPr>
        <w:pStyle w:val="BodyText"/>
      </w:pPr>
      <w:r>
        <w:rPr>
          <w:b/>
          <w:bCs/>
        </w:rPr>
        <w:t xml:space="preserve">Webhook URLs:</w:t>
      </w:r>
    </w:p>
    <w:p>
      <w:pPr>
        <w:numPr>
          <w:ilvl w:val="0"/>
          <w:numId w:val="1007"/>
        </w:numPr>
      </w:pPr>
      <w:r>
        <w:t xml:space="preserve">WF-12 (Tired Test): https://services.leadconnectorhq.com/hooks/GtXjla7Ld1dordsTWrVy/webhook-trigger/6c3a7c6c-f1fa-4c85-a03a-a1c42fdfb13d</w:t>
      </w:r>
    </w:p>
    <w:p>
      <w:pPr>
        <w:numPr>
          <w:ilvl w:val="0"/>
          <w:numId w:val="1007"/>
        </w:numPr>
      </w:pPr>
      <w:r>
        <w:t xml:space="preserve">WF-15 (Synthesis Gap): https://services.leadconnectorhq.com/hooks/GtXjla7Ld1dordsTWrVy/webhook-trigger/fd32493c-6ec1-4e55-9edb-75399aa53a34</w:t>
      </w:r>
    </w:p>
    <w:p>
      <w:pPr>
        <w:numPr>
          <w:ilvl w:val="0"/>
          <w:numId w:val="1007"/>
        </w:numPr>
      </w:pPr>
      <w:r>
        <w:t xml:space="preserve">WF-18 (Recovery): https://services.leadconnectorhq.com/hooks/GtXjla7Ld1dordsTWrVy/webhook-trigger/3ae538d7-81a9-42a7-9e18-5e7c8b19b84a</w:t>
      </w:r>
    </w:p>
    <w:p>
      <w:pPr>
        <w:numPr>
          <w:ilvl w:val="0"/>
          <w:numId w:val="1007"/>
        </w:numPr>
      </w:pPr>
      <w:r>
        <w:t xml:space="preserve">WF-19 (Winter Protocol): https://services.leadconnectorhq.com/hooks/GtXjla7Ld1dordsTWrVy/webhook-trigger/ad11ef02-14c8-4dbc-b1dd-bb5c9f3203bd</w:t>
      </w:r>
    </w:p>
    <w:p>
      <w:pPr>
        <w:numPr>
          <w:ilvl w:val="0"/>
          <w:numId w:val="1007"/>
        </w:numPr>
      </w:pPr>
      <w:r>
        <w:t xml:space="preserve">WF-21 (Vitamin D Assessment): https://services.leadconnectorhq.com/hooks/GtXjla7Ld1dordsTWrVy/webhook-trigger/d2692dc6-1e9f-466c-8525-58c466c426bd</w:t>
      </w:r>
    </w:p>
    <w:p>
      <w:pPr>
        <w:pStyle w:val="FirstParagraph"/>
      </w:pPr>
      <w:r>
        <w:rPr>
          <w:b/>
          <w:bCs/>
        </w:rPr>
        <w:t xml:space="preserve">Implementation note:</w:t>
      </w:r>
      <w:r>
        <w:t xml:space="preserve"> </w:t>
      </w:r>
      <w:r>
        <w:t xml:space="preserve">capture workflows apply drip_bypass in the same Add-Tags action as type_consumer so the tags land together. Because GHL trigger filters do not offer a</w:t>
      </w:r>
      <w:r>
        <w:t xml:space="preserve"> </w:t>
      </w:r>
      <w:r>
        <w:t xml:space="preserve">“does not have tag”</w:t>
      </w:r>
      <w:r>
        <w:t xml:space="preserve"> </w:t>
      </w:r>
      <w:r>
        <w:t xml:space="preserve">condition, the bypass gate is a first-step If/Else inside the Consumer Drip, WF-02, and WF-04. Full detail in Section 24.</w:t>
      </w:r>
    </w:p>
    <w:bookmarkEnd w:id="55"/>
    <w:bookmarkStart w:id="56" w:name="lead-scoring-model"/>
    <w:p>
      <w:pPr>
        <w:pStyle w:val="Heading2"/>
      </w:pPr>
      <w:r>
        <w:t xml:space="preserve">Lead Scoring Model</w:t>
      </w:r>
    </w:p>
    <w:p>
      <w:pPr>
        <w:pStyle w:val="FirstParagraph"/>
      </w:pPr>
      <w:r>
        <w:t xml:space="preserve">Email Opened +6 · Appointment Confirmed +21 · Contact Reply +11 · Appointment Booked +21.</w:t>
      </w:r>
    </w:p>
    <w:bookmarkEnd w:id="56"/>
    <w:bookmarkEnd w:id="57"/>
    <w:bookmarkStart w:id="58" w:name="X0c20422ed8ac108c0bc9dd737a232b220bacd70"/>
    <w:p>
      <w:pPr>
        <w:pStyle w:val="Heading1"/>
      </w:pPr>
      <w:r>
        <w:t xml:space="preserve">SECTION 13: EMAIL SERVICES (REBUILT in v3.7)</w:t>
      </w:r>
    </w:p>
    <w:p>
      <w:pPr>
        <w:pStyle w:val="FirstParagraph"/>
      </w:pPr>
      <w:r>
        <w:t xml:space="preserve">The v3.6 Gmail-SMTP model is retired. GHL allows only one Gmail connection per sub-account, which forced Scott and David to compete for a single slot (David’s connection replaced Scott’s, so all mail sent from David). Replaced by a dedicated LC Email sending domain.</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13"/>
        <w:tblLayout w:type="fixed"/>
        <w:tblLook w:firstRow="1" w:lastRow="0" w:firstColumn="0" w:lastColumn="0" w:noHBand="0" w:noVBand="0" w:val="0020"/>
      </w:tblPr>
      <w:tblGrid>
        <w:gridCol w:w="2479"/>
        <w:gridCol w:w="5302"/>
      </w:tblGrid>
      <w:tr>
        <w:trPr>
          <w:tblHeader w:val="on"/>
        </w:trPr>
        <w:tc>
          <w:tcPr/>
          <w:p>
            <w:pPr>
              <w:pStyle w:val="Compact"/>
              <w:jc w:val="left"/>
            </w:pPr>
            <w:r>
              <w:rPr>
                <w:b/>
                <w:bCs/>
              </w:rPr>
              <w:t xml:space="preserve">Element</w:t>
            </w:r>
          </w:p>
        </w:tc>
        <w:tc>
          <w:tcPr/>
          <w:p>
            <w:pPr>
              <w:pStyle w:val="Compact"/>
              <w:jc w:val="left"/>
            </w:pPr>
            <w:r>
              <w:rPr>
                <w:b/>
                <w:bCs/>
              </w:rPr>
              <w:t xml:space="preserve">Value</w:t>
            </w:r>
          </w:p>
        </w:tc>
      </w:tr>
      <w:tr>
        <w:tc>
          <w:tcPr/>
          <w:p>
            <w:pPr>
              <w:pStyle w:val="Compact"/>
              <w:jc w:val="left"/>
            </w:pPr>
            <w:r>
              <w:t xml:space="preserve">Provider</w:t>
            </w:r>
          </w:p>
        </w:tc>
        <w:tc>
          <w:tcPr/>
          <w:p>
            <w:pPr>
              <w:pStyle w:val="Compact"/>
              <w:jc w:val="left"/>
            </w:pPr>
            <w:r>
              <w:t xml:space="preserve">LeadConnector Email System (LC Email)</w:t>
            </w:r>
          </w:p>
        </w:tc>
      </w:tr>
      <w:tr>
        <w:tc>
          <w:tcPr/>
          <w:p>
            <w:pPr>
              <w:pStyle w:val="Compact"/>
              <w:jc w:val="left"/>
            </w:pPr>
            <w:r>
              <w:t xml:space="preserve">Dedicated sending domain</w:t>
            </w:r>
          </w:p>
        </w:tc>
        <w:tc>
          <w:tcPr/>
          <w:p>
            <w:pPr>
              <w:pStyle w:val="Compact"/>
              <w:jc w:val="left"/>
            </w:pPr>
            <w:r>
              <w:t xml:space="preserve">mg.enyrgy.com</w:t>
            </w:r>
          </w:p>
        </w:tc>
      </w:tr>
      <w:tr>
        <w:tc>
          <w:tcPr/>
          <w:p>
            <w:pPr>
              <w:pStyle w:val="Compact"/>
              <w:jc w:val="left"/>
            </w:pPr>
            <w:r>
              <w:t xml:space="preserve">DNS</w:t>
            </w:r>
          </w:p>
        </w:tc>
        <w:tc>
          <w:tcPr/>
          <w:p>
            <w:pPr>
              <w:pStyle w:val="Compact"/>
              <w:jc w:val="left"/>
            </w:pPr>
            <w:r>
              <w:t xml:space="preserve">Auto-configured via GoDaddy Domain Connect (SPF, DKIM, CNAME, MX verified)</w:t>
            </w:r>
          </w:p>
        </w:tc>
      </w:tr>
      <w:tr>
        <w:tc>
          <w:tcPr/>
          <w:p>
            <w:pPr>
              <w:pStyle w:val="Compact"/>
              <w:jc w:val="left"/>
            </w:pPr>
            <w:r>
              <w:t xml:space="preserve">SSL</w:t>
            </w:r>
          </w:p>
        </w:tc>
        <w:tc>
          <w:tcPr/>
          <w:p>
            <w:pPr>
              <w:pStyle w:val="Compact"/>
              <w:jc w:val="left"/>
            </w:pPr>
            <w:r>
              <w:t xml:space="preserve">Issued</w:t>
            </w:r>
          </w:p>
        </w:tc>
      </w:tr>
      <w:tr>
        <w:tc>
          <w:tcPr/>
          <w:p>
            <w:pPr>
              <w:pStyle w:val="Compact"/>
              <w:jc w:val="left"/>
            </w:pPr>
            <w:r>
              <w:t xml:space="preserve">Default sender (Dedicated Header)</w:t>
            </w:r>
          </w:p>
        </w:tc>
        <w:tc>
          <w:tcPr/>
          <w:p>
            <w:pPr>
              <w:pStyle w:val="Compact"/>
              <w:jc w:val="left"/>
            </w:pPr>
            <w:r>
              <w:t xml:space="preserve">Scott Hansbury / scott@enyrgy.com</w:t>
            </w:r>
          </w:p>
        </w:tc>
      </w:tr>
      <w:tr>
        <w:tc>
          <w:tcPr/>
          <w:p>
            <w:pPr>
              <w:pStyle w:val="Compact"/>
              <w:jc w:val="left"/>
            </w:pPr>
            <w:r>
              <w:t xml:space="preserve">Warmup</w:t>
            </w:r>
          </w:p>
        </w:tc>
        <w:tc>
          <w:tcPr/>
          <w:p>
            <w:pPr>
              <w:pStyle w:val="Compact"/>
              <w:jc w:val="left"/>
            </w:pPr>
            <w:r>
              <w:t xml:space="preserve">Stage 1, ramp volume gradually; no bulk blasts during warmup</w:t>
            </w:r>
          </w:p>
        </w:tc>
      </w:tr>
    </w:tbl>
    <w:p>
      <w:pPr>
        <w:pStyle w:val="BodyText"/>
      </w:pPr>
      <w:r>
        <w:rPr>
          <w:b/>
          <w:bCs/>
        </w:rPr>
        <w:t xml:space="preserve">Why this solves the constraint:</w:t>
      </w:r>
      <w:r>
        <w:t xml:space="preserve"> </w:t>
      </w:r>
      <w:r>
        <w:t xml:space="preserve">one authenticated domain can send from ANY @enyrgy.com address. The per-message From is set per workflow; only the sending domain is authenticated. scott@ sends from its own identity, DMARC-aligned, with better deliverability and real delivery stats (Gmail SMTP did not report delivered events).</w:t>
      </w:r>
    </w:p>
    <w:p>
      <w:pPr>
        <w:pStyle w:val="BodyText"/>
      </w:pPr>
      <w:r>
        <w:rPr>
          <w:b/>
          <w:bCs/>
        </w:rPr>
        <w:t xml:space="preserve">Operational caution:</w:t>
      </w:r>
      <w:r>
        <w:t xml:space="preserve"> </w:t>
      </w:r>
      <w:r>
        <w:t xml:space="preserve">the domain is in reputation warmup. Consumer opt-ins one at a time are a healthy warmup pattern. Do NOT bulk-send to the 600+ existing customer list from this domain on day one, ramp gradually.</w:t>
      </w:r>
    </w:p>
    <w:bookmarkEnd w:id="58"/>
    <w:bookmarkStart w:id="64" w:name="section-14-content-rules-updated-in-v3.7"/>
    <w:p>
      <w:pPr>
        <w:pStyle w:val="Heading1"/>
      </w:pPr>
      <w:r>
        <w:t xml:space="preserve">SECTION 14: CONTENT RULES (UPDATED in v3.7)</w:t>
      </w:r>
    </w:p>
    <w:bookmarkStart w:id="59" w:name="X5efa0766421bd09f1227051e34376c42a99a8cb"/>
    <w:p>
      <w:pPr>
        <w:pStyle w:val="Heading2"/>
      </w:pPr>
      <w:r>
        <w:t xml:space="preserve">Content Framework (CORRECTED, supersedes v3.6</w:t>
      </w:r>
      <w:r>
        <w:t xml:space="preserve"> </w:t>
      </w:r>
      <w:r>
        <w:t xml:space="preserve">“Story Selling OS on all content”</w:t>
      </w:r>
      <w:r>
        <w:t xml:space="preserve">)</w:t>
      </w:r>
    </w:p>
    <w:p>
      <w:pPr>
        <w:numPr>
          <w:ilvl w:val="0"/>
          <w:numId w:val="1008"/>
        </w:numPr>
      </w:pPr>
      <w:r>
        <w:rPr>
          <w:b/>
          <w:bCs/>
        </w:rPr>
        <w:t xml:space="preserve">StorySelling OS</w:t>
      </w:r>
      <w:r>
        <w:t xml:space="preserve"> </w:t>
      </w:r>
      <w:r>
        <w:t xml:space="preserve">-&gt; NARRATIVE/story content ONLY (origin stories, testimonials, social content pulling traffic to guides).</w:t>
      </w:r>
    </w:p>
    <w:p>
      <w:pPr>
        <w:numPr>
          <w:ilvl w:val="0"/>
          <w:numId w:val="1008"/>
        </w:numPr>
      </w:pPr>
      <w:r>
        <w:rPr>
          <w:b/>
          <w:bCs/>
        </w:rPr>
        <w:t xml:space="preserve">eugene-skill / cub / copy-chief / humanize-pro</w:t>
      </w:r>
      <w:r>
        <w:t xml:space="preserve"> </w:t>
      </w:r>
      <w:r>
        <w:t xml:space="preserve">-&gt; conversion and research copy (landing pages, guides, conversion emails).</w:t>
      </w:r>
    </w:p>
    <w:p>
      <w:pPr>
        <w:numPr>
          <w:ilvl w:val="0"/>
          <w:numId w:val="1008"/>
        </w:numPr>
      </w:pPr>
      <w:r>
        <w:rPr>
          <w:b/>
          <w:bCs/>
        </w:rPr>
        <w:t xml:space="preserve">presell-sandwich</w:t>
      </w:r>
      <w:r>
        <w:t xml:space="preserve"> </w:t>
      </w:r>
      <w:r>
        <w:t xml:space="preserve">-&gt; Problem-Aware buyer copy.</w:t>
      </w:r>
    </w:p>
    <w:p>
      <w:pPr>
        <w:numPr>
          <w:ilvl w:val="0"/>
          <w:numId w:val="1008"/>
        </w:numPr>
      </w:pPr>
      <w:r>
        <w:rPr>
          <w:b/>
          <w:bCs/>
        </w:rPr>
        <w:t xml:space="preserve">offer-brief / offer-gravity</w:t>
      </w:r>
      <w:r>
        <w:t xml:space="preserve"> </w:t>
      </w:r>
      <w:r>
        <w:t xml:space="preserve">-&gt; offer framing.</w:t>
      </w:r>
    </w:p>
    <w:p>
      <w:pPr>
        <w:numPr>
          <w:ilvl w:val="0"/>
          <w:numId w:val="1008"/>
        </w:numPr>
      </w:pPr>
      <w:r>
        <w:rPr>
          <w:b/>
          <w:bCs/>
        </w:rPr>
        <w:t xml:space="preserve">Rule:</w:t>
      </w:r>
      <w:r>
        <w:t xml:space="preserve"> </w:t>
      </w:r>
      <w:r>
        <w:t xml:space="preserve">match the skill to the asset’s JOB, not its topic. Landing pages and guides require a full skills pass even when derived from already-refined material. Evidence-forward credibility (not narrative) is required on research guides and conversion pages for skeptical buyers.</w:t>
      </w:r>
    </w:p>
    <w:bookmarkEnd w:id="59"/>
    <w:bookmarkStart w:id="60" w:name="writing-rules"/>
    <w:p>
      <w:pPr>
        <w:pStyle w:val="Heading2"/>
      </w:pPr>
      <w:r>
        <w:t xml:space="preserve">Writing Rules</w:t>
      </w:r>
    </w:p>
    <w:p>
      <w:pPr>
        <w:numPr>
          <w:ilvl w:val="0"/>
          <w:numId w:val="1009"/>
        </w:numPr>
      </w:pPr>
      <w:r>
        <w:t xml:space="preserve">No m-dashes ever; use commas, periods, or rewrite.</w:t>
      </w:r>
    </w:p>
    <w:p>
      <w:pPr>
        <w:numPr>
          <w:ilvl w:val="0"/>
          <w:numId w:val="1009"/>
        </w:numPr>
      </w:pPr>
      <w:r>
        <w:t xml:space="preserve">Always</w:t>
      </w:r>
      <w:r>
        <w:t xml:space="preserve"> </w:t>
      </w:r>
      <w:r>
        <w:t xml:space="preserve">“Enyrgy Vitamin D Primal Light Platform”</w:t>
      </w:r>
      <w:r>
        <w:t xml:space="preserve"> </w:t>
      </w:r>
      <w:r>
        <w:t xml:space="preserve">on first reference. Deprecated:</w:t>
      </w:r>
      <w:r>
        <w:t xml:space="preserve"> </w:t>
      </w:r>
      <w:r>
        <w:t xml:space="preserve">“Precision Vitamin D Wellness Platform”</w:t>
      </w:r>
      <w:r>
        <w:t xml:space="preserve"> </w:t>
      </w:r>
      <w:r>
        <w:t xml:space="preserve">and</w:t>
      </w:r>
      <w:r>
        <w:t xml:space="preserve"> </w:t>
      </w:r>
      <w:r>
        <w:t xml:space="preserve">“Primal Light Platform”</w:t>
      </w:r>
      <w:r>
        <w:t xml:space="preserve"> </w:t>
      </w:r>
      <w:r>
        <w:t xml:space="preserve">alone.</w:t>
      </w:r>
    </w:p>
    <w:p>
      <w:pPr>
        <w:numPr>
          <w:ilvl w:val="0"/>
          <w:numId w:val="1009"/>
        </w:numPr>
      </w:pPr>
      <w:r>
        <w:t xml:space="preserve">Treatments completed: 25,000+. Customers: 600+. Red light co-use: 90%.</w:t>
      </w:r>
    </w:p>
    <w:p>
      <w:pPr>
        <w:numPr>
          <w:ilvl w:val="0"/>
          <w:numId w:val="1009"/>
        </w:numPr>
      </w:pPr>
      <w:r>
        <w:t xml:space="preserve">Manufacturing / Facility: 5115 N 27th Ave, Bld 66, Phoenix, AZ 85017, Made in USA (relocated from Scottsdale; all labels, listings, and materials should reflect the new address).</w:t>
      </w:r>
    </w:p>
    <w:p>
      <w:pPr>
        <w:numPr>
          <w:ilvl w:val="0"/>
          <w:numId w:val="1009"/>
        </w:numPr>
      </w:pPr>
      <w:r>
        <w:t xml:space="preserve">Referral: $150 off referee, $100 credit referrer.</w:t>
      </w:r>
    </w:p>
    <w:p>
      <w:pPr>
        <w:numPr>
          <w:ilvl w:val="0"/>
          <w:numId w:val="1009"/>
        </w:numPr>
      </w:pPr>
      <w:r>
        <w:t xml:space="preserve">Per-session cost: $2.30 (1,300 sessions over 5 years).</w:t>
      </w:r>
    </w:p>
    <w:p>
      <w:pPr>
        <w:numPr>
          <w:ilvl w:val="0"/>
          <w:numId w:val="1009"/>
        </w:numPr>
      </w:pPr>
      <w:r>
        <w:t xml:space="preserve">Order URL: https://shop.enyrgy.com/products/uvb-light-therapy · Device Registration: https://api.enyrgy.com/</w:t>
      </w:r>
    </w:p>
    <w:bookmarkEnd w:id="60"/>
    <w:bookmarkStart w:id="61" w:name="brand-standards-new-in-v3.7-locked"/>
    <w:p>
      <w:pPr>
        <w:pStyle w:val="Heading2"/>
      </w:pPr>
      <w:r>
        <w:t xml:space="preserve">Brand Standards (NEW in v3.7, locked)</w:t>
      </w:r>
    </w:p>
    <w:p>
      <w:pPr>
        <w:numPr>
          <w:ilvl w:val="0"/>
          <w:numId w:val="1010"/>
        </w:numPr>
      </w:pPr>
      <w:r>
        <w:t xml:space="preserve">Accent: Sunrise Orange #E64C38 only (NO violet/purple/amber).</w:t>
      </w:r>
    </w:p>
    <w:p>
      <w:pPr>
        <w:numPr>
          <w:ilvl w:val="0"/>
          <w:numId w:val="1010"/>
        </w:numPr>
      </w:pPr>
      <w:r>
        <w:t xml:space="preserve">Typography: Montserrat, all weights (Bely Bold Italic unavailable -&gt; all-Montserrat).</w:t>
      </w:r>
    </w:p>
    <w:p>
      <w:pPr>
        <w:numPr>
          <w:ilvl w:val="0"/>
          <w:numId w:val="1010"/>
        </w:numPr>
      </w:pPr>
      <w:r>
        <w:t xml:space="preserve">Text: Deep Charcoal #1A1A1A. Panels: Warm Off-White #F7F4EE, Calm Beige #ECE4CF. Line #E2DBC9. Muted #6B6B66.</w:t>
      </w:r>
    </w:p>
    <w:p>
      <w:pPr>
        <w:numPr>
          <w:ilvl w:val="0"/>
          <w:numId w:val="1010"/>
        </w:numPr>
      </w:pPr>
      <w:r>
        <w:t xml:space="preserve">Approved terms: BioCalibrated Sunshine™ (personalized-dosing/skin-type angle), Triple-Pathway Advantage™.</w:t>
      </w:r>
    </w:p>
    <w:bookmarkEnd w:id="61"/>
    <w:bookmarkStart w:id="62" w:name="Xfe01eca712cc1036100477333073c92282aeab4"/>
    <w:p>
      <w:pPr>
        <w:pStyle w:val="Heading2"/>
      </w:pPr>
      <w:r>
        <w:t xml:space="preserve">Nitric Oxide Framing (NEW in v3.7, applied across all assets)</w:t>
      </w:r>
    </w:p>
    <w:p>
      <w:pPr>
        <w:pStyle w:val="FirstParagraph"/>
      </w:pPr>
      <w:r>
        <w:t xml:space="preserve">Supplements feed the ENZYMATIC route (substrate -&gt; eNOS -&gt; NO). UVA triggers enzyme-independent PHOTORELEASE of NO from preformed skin stores (nitrite/nitrosothiols). The light pathway is additive, one a capsule cannot open. The claim</w:t>
      </w:r>
      <w:r>
        <w:t xml:space="preserve"> </w:t>
      </w:r>
      <w:r>
        <w:t xml:space="preserve">“no supplement produces nitric oxide”</w:t>
      </w:r>
      <w:r>
        <w:t xml:space="preserve"> </w:t>
      </w:r>
      <w:r>
        <w:t xml:space="preserve">is false framing and must not be used.</w:t>
      </w:r>
    </w:p>
    <w:bookmarkEnd w:id="62"/>
    <w:bookmarkStart w:id="63" w:name="prohibited-words-compliance"/>
    <w:p>
      <w:pPr>
        <w:pStyle w:val="Heading2"/>
      </w:pPr>
      <w:r>
        <w:t xml:space="preserve">Prohibited Words (Compliance)</w:t>
      </w:r>
    </w:p>
    <w:p>
      <w:pPr>
        <w:pStyle w:val="FirstParagraph"/>
      </w:pPr>
      <w:r>
        <w:t xml:space="preserve">treat, cure, diagnose, disease, prescription, FDA-approved, medical treatment, heal, fix, medication, illness, clinical diagnosis, therapeutic treatment. Review all client-facing content against the 2026 January FDA Guidelines for Wellness Products before use.</w:t>
      </w:r>
    </w:p>
    <w:bookmarkEnd w:id="63"/>
    <w:bookmarkEnd w:id="64"/>
    <w:bookmarkStart w:id="65" w:name="section-15-approved-talking-points"/>
    <w:p>
      <w:pPr>
        <w:pStyle w:val="Heading1"/>
      </w:pPr>
      <w:r>
        <w:t xml:space="preserve">SECTION 15: APPROVED TALKING POINTS</w:t>
      </w:r>
    </w:p>
    <w:p>
      <w:pPr>
        <w:numPr>
          <w:ilvl w:val="0"/>
          <w:numId w:val="1011"/>
        </w:numPr>
      </w:pPr>
      <w:r>
        <w:t xml:space="preserve">Every human body was meant to thrive on sunlight. We just made it safe, personalized and controllable.</w:t>
      </w:r>
    </w:p>
    <w:p>
      <w:pPr>
        <w:numPr>
          <w:ilvl w:val="0"/>
          <w:numId w:val="1011"/>
        </w:numPr>
      </w:pPr>
      <w:r>
        <w:t xml:space="preserve">Restore your body’s natural response to sunlight.</w:t>
      </w:r>
    </w:p>
    <w:p>
      <w:pPr>
        <w:numPr>
          <w:ilvl w:val="0"/>
          <w:numId w:val="1011"/>
        </w:numPr>
      </w:pPr>
      <w:r>
        <w:t xml:space="preserve">Activate three biological pathways in 2-4 minutes.</w:t>
      </w:r>
    </w:p>
    <w:p>
      <w:pPr>
        <w:numPr>
          <w:ilvl w:val="0"/>
          <w:numId w:val="1011"/>
        </w:numPr>
      </w:pPr>
      <w:r>
        <w:t xml:space="preserve">25,000+ sessions with zero adverse events.</w:t>
      </w:r>
    </w:p>
    <w:p>
      <w:pPr>
        <w:numPr>
          <w:ilvl w:val="0"/>
          <w:numId w:val="1011"/>
        </w:numPr>
      </w:pPr>
      <w:r>
        <w:t xml:space="preserve">100% of clinical study participants reached optimal Vitamin D levels.</w:t>
      </w:r>
    </w:p>
    <w:p>
      <w:pPr>
        <w:numPr>
          <w:ilvl w:val="0"/>
          <w:numId w:val="1011"/>
        </w:numPr>
      </w:pPr>
      <w:r>
        <w:t xml:space="preserve">2.4x more efficient than sunlight for Vitamin D synthesis.</w:t>
      </w:r>
    </w:p>
    <w:p>
      <w:pPr>
        <w:numPr>
          <w:ilvl w:val="0"/>
          <w:numId w:val="1011"/>
        </w:numPr>
      </w:pPr>
      <w:r>
        <w:t xml:space="preserve">App-controlled, personalized MED protocol, system shuts off automatically.</w:t>
      </w:r>
    </w:p>
    <w:p>
      <w:pPr>
        <w:numPr>
          <w:ilvl w:val="0"/>
          <w:numId w:val="1011"/>
        </w:numPr>
      </w:pPr>
      <w:r>
        <w:t xml:space="preserve">Less than 1% return rate, 5-10x better than industry average.</w:t>
      </w:r>
    </w:p>
    <w:p>
      <w:pPr>
        <w:numPr>
          <w:ilvl w:val="0"/>
          <w:numId w:val="1011"/>
        </w:numPr>
      </w:pPr>
      <w:r>
        <w:t xml:space="preserve">Manufactured in Phoenix, AZ, Made in USA.</w:t>
      </w:r>
    </w:p>
    <w:p>
      <w:pPr>
        <w:numPr>
          <w:ilvl w:val="0"/>
          <w:numId w:val="1011"/>
        </w:numPr>
      </w:pPr>
      <w:r>
        <w:t xml:space="preserve">600+ customers across 5 countries.</w:t>
      </w:r>
    </w:p>
    <w:p>
      <w:pPr>
        <w:numPr>
          <w:ilvl w:val="0"/>
          <w:numId w:val="1011"/>
        </w:numPr>
      </w:pPr>
      <w:r>
        <w:t xml:space="preserve">Lumanova selected our technology to launch Luma D Light.</w:t>
      </w:r>
    </w:p>
    <w:p>
      <w:pPr>
        <w:numPr>
          <w:ilvl w:val="0"/>
          <w:numId w:val="1011"/>
        </w:numPr>
      </w:pPr>
      <w:r>
        <w:t xml:space="preserve">$2,995 consumer / $8,950 commercial.</w:t>
      </w:r>
    </w:p>
    <w:p>
      <w:pPr>
        <w:numPr>
          <w:ilvl w:val="0"/>
          <w:numId w:val="1011"/>
        </w:numPr>
      </w:pPr>
      <w:r>
        <w:t xml:space="preserve">$2.30 per session at 5 sessions/week over 5 years.</w:t>
      </w:r>
    </w:p>
    <w:p>
      <w:pPr>
        <w:numPr>
          <w:ilvl w:val="0"/>
          <w:numId w:val="1011"/>
        </w:numPr>
      </w:pPr>
      <w:r>
        <w:t xml:space="preserve">90% of our customers also use red light therapy.</w:t>
      </w:r>
    </w:p>
    <w:p>
      <w:pPr>
        <w:numPr>
          <w:ilvl w:val="0"/>
          <w:numId w:val="1011"/>
        </w:numPr>
      </w:pPr>
      <w:r>
        <w:t xml:space="preserve">Sunlight. Evolved.</w:t>
      </w:r>
    </w:p>
    <w:bookmarkEnd w:id="65"/>
    <w:bookmarkStart w:id="68" w:name="section-16-commercial-roi-model"/>
    <w:p>
      <w:pPr>
        <w:pStyle w:val="Heading1"/>
      </w:pPr>
      <w:r>
        <w:t xml:space="preserve">SECTION 16: COMMERCIAL ROI MODEL</w:t>
      </w:r>
    </w:p>
    <w:bookmarkStart w:id="66" w:name="model-a-pay-per-modality"/>
    <w:p>
      <w:pPr>
        <w:pStyle w:val="Heading2"/>
      </w:pPr>
      <w:r>
        <w:t xml:space="preserve">Model A, Pay Per Modality</w:t>
      </w:r>
    </w:p>
    <w:p>
      <w:pPr>
        <w:pStyle w:val="FirstParagraph"/>
      </w:pPr>
      <w:r>
        <w:t xml:space="preserve">$49/month per client to add as standalone modality.</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Clients</w:t>
            </w:r>
          </w:p>
        </w:tc>
        <w:tc>
          <w:tcPr/>
          <w:p>
            <w:pPr>
              <w:pStyle w:val="Compact"/>
              <w:jc w:val="left"/>
            </w:pPr>
            <w:r>
              <w:rPr>
                <w:b/>
                <w:bCs/>
              </w:rPr>
              <w:t xml:space="preserve">Monthly Revenue</w:t>
            </w:r>
          </w:p>
        </w:tc>
        <w:tc>
          <w:tcPr/>
          <w:p>
            <w:pPr>
              <w:pStyle w:val="Compact"/>
              <w:jc w:val="left"/>
            </w:pPr>
            <w:r>
              <w:rPr>
                <w:b/>
                <w:bCs/>
              </w:rPr>
              <w:t xml:space="preserve">Annual Revenue</w:t>
            </w:r>
          </w:p>
        </w:tc>
      </w:tr>
      <w:tr>
        <w:tc>
          <w:tcPr/>
          <w:p>
            <w:pPr>
              <w:pStyle w:val="Compact"/>
              <w:jc w:val="left"/>
            </w:pPr>
            <w:r>
              <w:t xml:space="preserve">25</w:t>
            </w:r>
          </w:p>
        </w:tc>
        <w:tc>
          <w:tcPr/>
          <w:p>
            <w:pPr>
              <w:pStyle w:val="Compact"/>
              <w:jc w:val="left"/>
            </w:pPr>
            <w:r>
              <w:t xml:space="preserve">$1,225 $</w:t>
            </w:r>
          </w:p>
        </w:tc>
        <w:tc>
          <w:tcPr/>
          <w:p>
            <w:pPr>
              <w:pStyle w:val="Compact"/>
              <w:jc w:val="left"/>
            </w:pPr>
            <w:r>
              <w:t xml:space="preserve">14,700</w:t>
            </w:r>
          </w:p>
        </w:tc>
      </w:tr>
      <w:tr>
        <w:tc>
          <w:tcPr/>
          <w:p>
            <w:pPr>
              <w:pStyle w:val="Compact"/>
              <w:jc w:val="left"/>
            </w:pPr>
            <w:r>
              <w:t xml:space="preserve">50</w:t>
            </w:r>
          </w:p>
        </w:tc>
        <w:tc>
          <w:tcPr/>
          <w:p>
            <w:pPr>
              <w:pStyle w:val="Compact"/>
              <w:jc w:val="left"/>
            </w:pPr>
            <w:r>
              <w:t xml:space="preserve">$2,450 $</w:t>
            </w:r>
          </w:p>
        </w:tc>
        <w:tc>
          <w:tcPr/>
          <w:p>
            <w:pPr>
              <w:pStyle w:val="Compact"/>
              <w:jc w:val="left"/>
            </w:pPr>
            <w:r>
              <w:t xml:space="preserve">29,400</w:t>
            </w:r>
          </w:p>
        </w:tc>
      </w:tr>
      <w:tr>
        <w:tc>
          <w:tcPr/>
          <w:p>
            <w:pPr>
              <w:pStyle w:val="Compact"/>
              <w:jc w:val="left"/>
            </w:pPr>
            <w:r>
              <w:t xml:space="preserve">100</w:t>
            </w:r>
          </w:p>
        </w:tc>
        <w:tc>
          <w:tcPr/>
          <w:p>
            <w:pPr>
              <w:pStyle w:val="Compact"/>
              <w:jc w:val="left"/>
            </w:pPr>
            <w:r>
              <w:t xml:space="preserve">$4,900 $</w:t>
            </w:r>
          </w:p>
        </w:tc>
        <w:tc>
          <w:tcPr/>
          <w:p>
            <w:pPr>
              <w:pStyle w:val="Compact"/>
              <w:jc w:val="left"/>
            </w:pPr>
            <w:r>
              <w:t xml:space="preserve">58,800</w:t>
            </w:r>
          </w:p>
        </w:tc>
      </w:tr>
    </w:tbl>
    <w:p>
      <w:pPr>
        <w:pStyle w:val="BodyText"/>
      </w:pPr>
      <w:r>
        <w:t xml:space="preserve">Device cost: $8,950. Payback at 50 clients: under 4 months.</w:t>
      </w:r>
    </w:p>
    <w:bookmarkEnd w:id="66"/>
    <w:bookmarkStart w:id="67" w:name="model-b-membership-tier-upgrade"/>
    <w:p>
      <w:pPr>
        <w:pStyle w:val="Heading2"/>
      </w:pPr>
      <w:r>
        <w:t xml:space="preserve">Model B, Membership Tier Upgrade</w:t>
      </w:r>
    </w:p>
    <w:p>
      <w:pPr>
        <w:pStyle w:val="FirstParagraph"/>
      </w:pPr>
      <w:r>
        <w:t xml:space="preserve">Device anchors premium tier. Revenue from clients upgrading tiers.</w:t>
      </w:r>
    </w:p>
    <w:p>
      <w:pPr>
        <w:pStyle w:val="BodyText"/>
      </w:pPr>
      <w:r>
        <w:rPr>
          <w:b/>
          <w:bCs/>
        </w:rPr>
        <w:t xml:space="preserve">Commercial anchor:</w:t>
      </w:r>
      <w:r>
        <w:t xml:space="preserve"> </w:t>
      </w:r>
      <w:r>
        <w:t xml:space="preserve">at 5 sessions/day at $50/session at 250 operating days = $62,500 gross Year 1; after device cost, $53,550 net = 6.0x ROI on a single unit.</w:t>
      </w:r>
    </w:p>
    <w:bookmarkEnd w:id="67"/>
    <w:bookmarkEnd w:id="68"/>
    <w:bookmarkStart w:id="69" w:name="section-17-investor-offering-details"/>
    <w:p>
      <w:pPr>
        <w:pStyle w:val="Heading1"/>
      </w:pPr>
      <w:r>
        <w:t xml:space="preserve">SECTION 17: INVESTOR OFFERING DETAILS</w:t>
      </w:r>
    </w:p>
    <w:p>
      <w:pPr>
        <w:pStyle w:val="FirstParagraph"/>
      </w:pPr>
      <w:r>
        <w:t xml:space="preserve">PPM shared after intro meeting. The subscription agreement and term sheet are pre-acceptance and may be shared before accreditation. Wire instructions and acceptance of any investment shared only after accredited_verified = Yes is confirmed.</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07"/>
        <w:tblLayout w:type="fixed"/>
        <w:tblLook w:firstRow="1" w:lastRow="0" w:firstColumn="0" w:lastColumn="0" w:noHBand="0" w:noVBand="0" w:val="0020"/>
      </w:tblPr>
      <w:tblGrid>
        <w:gridCol w:w="2640"/>
        <w:gridCol w:w="5133"/>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Structure</w:t>
            </w:r>
          </w:p>
        </w:tc>
        <w:tc>
          <w:tcPr/>
          <w:p>
            <w:pPr>
              <w:pStyle w:val="Compact"/>
              <w:jc w:val="left"/>
            </w:pPr>
            <w:r>
              <w:t xml:space="preserve">Private Credit, Promissory Note</w:t>
            </w:r>
          </w:p>
        </w:tc>
      </w:tr>
      <w:tr>
        <w:tc>
          <w:tcPr/>
          <w:p>
            <w:pPr>
              <w:pStyle w:val="Compact"/>
              <w:jc w:val="left"/>
            </w:pPr>
            <w:r>
              <w:t xml:space="preserve">Total Raise</w:t>
            </w:r>
          </w:p>
        </w:tc>
        <w:tc>
          <w:tcPr/>
          <w:p>
            <w:pPr>
              <w:pStyle w:val="Compact"/>
              <w:jc w:val="left"/>
            </w:pPr>
            <w:r>
              <w:t xml:space="preserve">$3.5M</w:t>
            </w:r>
          </w:p>
        </w:tc>
      </w:tr>
      <w:tr>
        <w:tc>
          <w:tcPr/>
          <w:p>
            <w:pPr>
              <w:pStyle w:val="Compact"/>
              <w:jc w:val="left"/>
            </w:pPr>
            <w:r>
              <w:t xml:space="preserve">Minimum</w:t>
            </w:r>
          </w:p>
        </w:tc>
        <w:tc>
          <w:tcPr/>
          <w:p>
            <w:pPr>
              <w:pStyle w:val="Compact"/>
              <w:jc w:val="left"/>
            </w:pPr>
            <w:r>
              <w:t xml:space="preserve">$50,000</w:t>
            </w:r>
          </w:p>
        </w:tc>
      </w:tr>
      <w:tr>
        <w:tc>
          <w:tcPr/>
          <w:p>
            <w:pPr>
              <w:pStyle w:val="Compact"/>
              <w:jc w:val="left"/>
            </w:pPr>
            <w:r>
              <w:t xml:space="preserve">Return</w:t>
            </w:r>
          </w:p>
        </w:tc>
        <w:tc>
          <w:tcPr/>
          <w:p>
            <w:pPr>
              <w:pStyle w:val="Compact"/>
              <w:jc w:val="left"/>
            </w:pPr>
            <w:r>
              <w:t xml:space="preserve">12% per annum</w:t>
            </w:r>
          </w:p>
        </w:tc>
      </w:tr>
      <w:tr>
        <w:tc>
          <w:tcPr/>
          <w:p>
            <w:pPr>
              <w:pStyle w:val="Compact"/>
              <w:jc w:val="left"/>
            </w:pPr>
            <w:r>
              <w:t xml:space="preserve">Term</w:t>
            </w:r>
          </w:p>
        </w:tc>
        <w:tc>
          <w:tcPr/>
          <w:p>
            <w:pPr>
              <w:pStyle w:val="Compact"/>
              <w:jc w:val="left"/>
            </w:pPr>
            <w:r>
              <w:t xml:space="preserve">3 years</w:t>
            </w:r>
          </w:p>
        </w:tc>
      </w:tr>
      <w:tr>
        <w:tc>
          <w:tcPr/>
          <w:p>
            <w:pPr>
              <w:pStyle w:val="Compact"/>
              <w:jc w:val="left"/>
            </w:pPr>
            <w:r>
              <w:t xml:space="preserve">Interest</w:t>
            </w:r>
          </w:p>
        </w:tc>
        <w:tc>
          <w:tcPr/>
          <w:p>
            <w:pPr>
              <w:pStyle w:val="Compact"/>
              <w:jc w:val="left"/>
            </w:pPr>
            <w:r>
              <w:t xml:space="preserve">Paid quarterly (postponed first 3 months)</w:t>
            </w:r>
          </w:p>
        </w:tc>
      </w:tr>
      <w:tr>
        <w:tc>
          <w:tcPr/>
          <w:p>
            <w:pPr>
              <w:pStyle w:val="Compact"/>
              <w:jc w:val="left"/>
            </w:pPr>
            <w:r>
              <w:t xml:space="preserve">Conversion Option</w:t>
            </w:r>
          </w:p>
        </w:tc>
        <w:tc>
          <w:tcPr/>
          <w:p>
            <w:pPr>
              <w:pStyle w:val="Compact"/>
              <w:jc w:val="left"/>
            </w:pPr>
            <w:r>
              <w:t xml:space="preserve">At investor discretion, 20% discount from independent SEC valuation</w:t>
            </w:r>
          </w:p>
        </w:tc>
      </w:tr>
      <w:tr>
        <w:tc>
          <w:tcPr/>
          <w:p>
            <w:pPr>
              <w:pStyle w:val="Compact"/>
              <w:jc w:val="left"/>
            </w:pPr>
            <w:r>
              <w:t xml:space="preserve">Exit Target</w:t>
            </w:r>
          </w:p>
        </w:tc>
        <w:tc>
          <w:tcPr/>
          <w:p>
            <w:pPr>
              <w:pStyle w:val="Compact"/>
              <w:jc w:val="left"/>
            </w:pPr>
            <w:r>
              <w:t xml:space="preserve">$100-150M in 5 years</w:t>
            </w:r>
          </w:p>
        </w:tc>
      </w:tr>
    </w:tbl>
    <w:bookmarkEnd w:id="69"/>
    <w:bookmarkStart w:id="70" w:name="section-18-key-reference-data"/>
    <w:p>
      <w:pPr>
        <w:pStyle w:val="Heading1"/>
      </w:pPr>
      <w:r>
        <w:t xml:space="preserve">SECTION 18: KEY REFERENCE DATA</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20"/>
        <w:tblLayout w:type="fixed"/>
        <w:tblLook w:firstRow="1" w:lastRow="0" w:firstColumn="0" w:lastColumn="0" w:noHBand="0" w:noVBand="0" w:val="0020"/>
      </w:tblPr>
      <w:tblGrid>
        <w:gridCol w:w="1710"/>
        <w:gridCol w:w="3864"/>
        <w:gridCol w:w="2217"/>
      </w:tblGrid>
      <w:tr>
        <w:trPr>
          <w:tblHeader w:val="on"/>
        </w:trPr>
        <w:tc>
          <w:tcPr/>
          <w:p>
            <w:pPr>
              <w:pStyle w:val="Compact"/>
              <w:jc w:val="left"/>
            </w:pPr>
            <w:r>
              <w:rPr>
                <w:b/>
                <w:bCs/>
              </w:rPr>
              <w:t xml:space="preserve">Data Point</w:t>
            </w:r>
          </w:p>
        </w:tc>
        <w:tc>
          <w:tcPr/>
          <w:p>
            <w:pPr>
              <w:pStyle w:val="Compact"/>
              <w:jc w:val="left"/>
            </w:pPr>
            <w:r>
              <w:rPr>
                <w:b/>
                <w:bCs/>
              </w:rPr>
              <w:t xml:space="preserve">Value</w:t>
            </w:r>
          </w:p>
        </w:tc>
        <w:tc>
          <w:tcPr/>
          <w:p>
            <w:pPr>
              <w:pStyle w:val="Compact"/>
              <w:jc w:val="left"/>
            </w:pPr>
            <w:r>
              <w:rPr>
                <w:b/>
                <w:bCs/>
              </w:rPr>
              <w:t xml:space="preserve">Use In</w:t>
            </w:r>
          </w:p>
        </w:tc>
      </w:tr>
      <w:tr>
        <w:tc>
          <w:tcPr/>
          <w:p>
            <w:pPr>
              <w:pStyle w:val="Compact"/>
              <w:jc w:val="left"/>
            </w:pPr>
            <w:r>
              <w:t xml:space="preserve">Consumer Unit MSRP</w:t>
            </w:r>
          </w:p>
        </w:tc>
        <w:tc>
          <w:tcPr/>
          <w:p>
            <w:pPr>
              <w:pStyle w:val="Compact"/>
              <w:jc w:val="left"/>
            </w:pPr>
            <w:r>
              <w:t xml:space="preserve">$2,995 A</w:t>
            </w:r>
          </w:p>
        </w:tc>
        <w:tc>
          <w:tcPr/>
          <w:p>
            <w:pPr>
              <w:pStyle w:val="Compact"/>
              <w:jc w:val="left"/>
            </w:pPr>
            <w:r>
              <w:t xml:space="preserve">ll consumer content</w:t>
            </w:r>
          </w:p>
        </w:tc>
      </w:tr>
      <w:tr>
        <w:tc>
          <w:tcPr/>
          <w:p>
            <w:pPr>
              <w:pStyle w:val="Compact"/>
              <w:jc w:val="left"/>
            </w:pPr>
            <w:r>
              <w:t xml:space="preserve">Commercial Unit MSRP</w:t>
            </w:r>
          </w:p>
        </w:tc>
        <w:tc>
          <w:tcPr/>
          <w:p>
            <w:pPr>
              <w:pStyle w:val="Compact"/>
              <w:jc w:val="left"/>
            </w:pPr>
            <w:r>
              <w:t xml:space="preserve">$8,950 A</w:t>
            </w:r>
          </w:p>
        </w:tc>
        <w:tc>
          <w:tcPr/>
          <w:p>
            <w:pPr>
              <w:pStyle w:val="Compact"/>
              <w:jc w:val="left"/>
            </w:pPr>
            <w:r>
              <w:t xml:space="preserve">ll commercial content</w:t>
            </w:r>
          </w:p>
        </w:tc>
      </w:tr>
      <w:tr>
        <w:tc>
          <w:tcPr/>
          <w:p>
            <w:pPr>
              <w:pStyle w:val="Compact"/>
              <w:jc w:val="left"/>
            </w:pPr>
            <w:r>
              <w:t xml:space="preserve">Per-session cost</w:t>
            </w:r>
          </w:p>
        </w:tc>
        <w:tc>
          <w:tcPr/>
          <w:p>
            <w:pPr>
              <w:pStyle w:val="Compact"/>
              <w:jc w:val="left"/>
            </w:pPr>
            <w:r>
              <w:t xml:space="preserve">$2.30 (5x/week, 5 years) C</w:t>
            </w:r>
          </w:p>
        </w:tc>
        <w:tc>
          <w:tcPr/>
          <w:p>
            <w:pPr>
              <w:pStyle w:val="Compact"/>
              <w:jc w:val="left"/>
            </w:pPr>
            <w:r>
              <w:t xml:space="preserve">onsumer drip, ROI emails</w:t>
            </w:r>
          </w:p>
        </w:tc>
      </w:tr>
      <w:tr>
        <w:tc>
          <w:tcPr/>
          <w:p>
            <w:pPr>
              <w:pStyle w:val="Compact"/>
              <w:jc w:val="left"/>
            </w:pPr>
            <w:r>
              <w:t xml:space="preserve">Treatments completed</w:t>
            </w:r>
          </w:p>
        </w:tc>
        <w:tc>
          <w:tcPr/>
          <w:p>
            <w:pPr>
              <w:pStyle w:val="Compact"/>
              <w:jc w:val="left"/>
            </w:pPr>
            <w:r>
              <w:t xml:space="preserve">25,000+</w:t>
            </w:r>
          </w:p>
        </w:tc>
        <w:tc>
          <w:tcPr/>
          <w:p>
            <w:pPr>
              <w:pStyle w:val="Compact"/>
              <w:jc w:val="left"/>
            </w:pPr>
            <w:r>
              <w:t xml:space="preserve">Trust/credibility messages</w:t>
            </w:r>
          </w:p>
        </w:tc>
      </w:tr>
      <w:tr>
        <w:tc>
          <w:tcPr/>
          <w:p>
            <w:pPr>
              <w:pStyle w:val="Compact"/>
              <w:jc w:val="left"/>
            </w:pPr>
            <w:r>
              <w:t xml:space="preserve">Return rate</w:t>
            </w:r>
          </w:p>
        </w:tc>
        <w:tc>
          <w:tcPr/>
          <w:p>
            <w:pPr>
              <w:pStyle w:val="Compact"/>
              <w:jc w:val="left"/>
            </w:pPr>
            <w:r>
              <w:t xml:space="preserve">&lt;1% C</w:t>
            </w:r>
          </w:p>
        </w:tc>
        <w:tc>
          <w:tcPr/>
          <w:p>
            <w:pPr>
              <w:pStyle w:val="Compact"/>
              <w:jc w:val="left"/>
            </w:pPr>
            <w:r>
              <w:t xml:space="preserve">onsumer objection handling</w:t>
            </w:r>
          </w:p>
        </w:tc>
      </w:tr>
      <w:tr>
        <w:tc>
          <w:tcPr/>
          <w:p>
            <w:pPr>
              <w:pStyle w:val="Compact"/>
              <w:jc w:val="left"/>
            </w:pPr>
            <w:r>
              <w:t xml:space="preserve">Clinical study result</w:t>
            </w:r>
          </w:p>
        </w:tc>
        <w:tc>
          <w:tcPr/>
          <w:p>
            <w:pPr>
              <w:pStyle w:val="Compact"/>
              <w:jc w:val="left"/>
            </w:pPr>
            <w:r>
              <w:t xml:space="preserve">+111% Vitamin D</w:t>
            </w:r>
          </w:p>
        </w:tc>
        <w:tc>
          <w:tcPr/>
          <w:p>
            <w:pPr>
              <w:pStyle w:val="Compact"/>
              <w:jc w:val="left"/>
            </w:pPr>
            <w:r>
              <w:t xml:space="preserve">Consumer drip</w:t>
            </w:r>
          </w:p>
        </w:tc>
      </w:tr>
      <w:tr>
        <w:tc>
          <w:tcPr/>
          <w:p>
            <w:pPr>
              <w:pStyle w:val="Compact"/>
              <w:jc w:val="left"/>
            </w:pPr>
            <w:r>
              <w:t xml:space="preserve">Efficiency vs. sunlight</w:t>
            </w:r>
          </w:p>
        </w:tc>
        <w:tc>
          <w:tcPr/>
          <w:p>
            <w:pPr>
              <w:pStyle w:val="Compact"/>
              <w:jc w:val="left"/>
            </w:pPr>
            <w:r>
              <w:t xml:space="preserve">2-4 min = 2-4 hours (60x)</w:t>
            </w:r>
          </w:p>
        </w:tc>
        <w:tc>
          <w:tcPr/>
          <w:p>
            <w:pPr>
              <w:pStyle w:val="Compact"/>
              <w:jc w:val="left"/>
            </w:pPr>
            <w:r>
              <w:t xml:space="preserve">Consumer drip</w:t>
            </w:r>
          </w:p>
        </w:tc>
      </w:tr>
      <w:tr>
        <w:tc>
          <w:tcPr/>
          <w:p>
            <w:pPr>
              <w:pStyle w:val="Compact"/>
              <w:jc w:val="left"/>
            </w:pPr>
            <w:r>
              <w:t xml:space="preserve">Gross margin, consumer</w:t>
            </w:r>
          </w:p>
        </w:tc>
        <w:tc>
          <w:tcPr/>
          <w:p>
            <w:pPr>
              <w:pStyle w:val="Compact"/>
              <w:jc w:val="left"/>
            </w:pPr>
            <w:r>
              <w:t xml:space="preserve">66%</w:t>
            </w:r>
          </w:p>
        </w:tc>
        <w:tc>
          <w:tcPr/>
          <w:p>
            <w:pPr>
              <w:pStyle w:val="Compact"/>
              <w:jc w:val="left"/>
            </w:pPr>
            <w:r>
              <w:t xml:space="preserve">Investor conversations</w:t>
            </w:r>
          </w:p>
        </w:tc>
      </w:tr>
      <w:tr>
        <w:tc>
          <w:tcPr/>
          <w:p>
            <w:pPr>
              <w:pStyle w:val="Compact"/>
              <w:jc w:val="left"/>
            </w:pPr>
            <w:r>
              <w:t xml:space="preserve">Gross margin, commercial</w:t>
            </w:r>
          </w:p>
        </w:tc>
        <w:tc>
          <w:tcPr/>
          <w:p>
            <w:pPr>
              <w:pStyle w:val="Compact"/>
              <w:jc w:val="left"/>
            </w:pPr>
            <w:r>
              <w:t xml:space="preserve">78%</w:t>
            </w:r>
          </w:p>
        </w:tc>
        <w:tc>
          <w:tcPr/>
          <w:p>
            <w:pPr>
              <w:pStyle w:val="Compact"/>
              <w:jc w:val="left"/>
            </w:pPr>
            <w:r>
              <w:t xml:space="preserve">Investor conversations</w:t>
            </w:r>
          </w:p>
        </w:tc>
      </w:tr>
      <w:tr>
        <w:tc>
          <w:tcPr/>
          <w:p>
            <w:pPr>
              <w:pStyle w:val="Compact"/>
              <w:jc w:val="left"/>
            </w:pPr>
            <w:r>
              <w:t xml:space="preserve">Active OEM partner</w:t>
            </w:r>
          </w:p>
        </w:tc>
        <w:tc>
          <w:tcPr/>
          <w:p>
            <w:pPr>
              <w:pStyle w:val="Compact"/>
              <w:jc w:val="left"/>
            </w:pPr>
            <w:r>
              <w:t xml:space="preserve">Lumanova / Luma D Light</w:t>
            </w:r>
          </w:p>
        </w:tc>
        <w:tc>
          <w:tcPr/>
          <w:p>
            <w:pPr>
              <w:pStyle w:val="Compact"/>
              <w:jc w:val="left"/>
            </w:pPr>
            <w:r>
              <w:t xml:space="preserve">Multiple funnels</w:t>
            </w:r>
          </w:p>
        </w:tc>
      </w:tr>
      <w:tr>
        <w:tc>
          <w:tcPr/>
          <w:p>
            <w:pPr>
              <w:pStyle w:val="Compact"/>
              <w:jc w:val="left"/>
            </w:pPr>
            <w:r>
              <w:t xml:space="preserve">Investor offering</w:t>
            </w:r>
          </w:p>
        </w:tc>
        <w:tc>
          <w:tcPr/>
          <w:p>
            <w:pPr>
              <w:pStyle w:val="Compact"/>
              <w:jc w:val="left"/>
            </w:pPr>
            <w:r>
              <w:t xml:space="preserve">$3.5M at 12%/3yr, $50K min In</w:t>
            </w:r>
          </w:p>
        </w:tc>
        <w:tc>
          <w:tcPr/>
          <w:p>
            <w:pPr>
              <w:pStyle w:val="Compact"/>
              <w:jc w:val="left"/>
            </w:pPr>
            <w:r>
              <w:t xml:space="preserve">vestor drip Touch 7, PPM sent after intro meeting</w:t>
            </w:r>
          </w:p>
        </w:tc>
      </w:tr>
      <w:tr>
        <w:tc>
          <w:tcPr/>
          <w:p>
            <w:pPr>
              <w:pStyle w:val="Compact"/>
              <w:jc w:val="left"/>
            </w:pPr>
            <w:r>
              <w:t xml:space="preserve">Exit target</w:t>
            </w:r>
          </w:p>
        </w:tc>
        <w:tc>
          <w:tcPr/>
          <w:p>
            <w:pPr>
              <w:pStyle w:val="Compact"/>
              <w:jc w:val="left"/>
            </w:pPr>
            <w:r>
              <w:t xml:space="preserve">$100-150M in 5 years I</w:t>
            </w:r>
          </w:p>
        </w:tc>
        <w:tc>
          <w:tcPr/>
          <w:p>
            <w:pPr>
              <w:pStyle w:val="Compact"/>
              <w:jc w:val="left"/>
            </w:pPr>
            <w:r>
              <w:t xml:space="preserve">nvestor conversations only</w:t>
            </w:r>
          </w:p>
        </w:tc>
      </w:tr>
      <w:tr>
        <w:tc>
          <w:tcPr/>
          <w:p>
            <w:pPr>
              <w:pStyle w:val="Compact"/>
              <w:jc w:val="left"/>
            </w:pPr>
            <w:r>
              <w:t xml:space="preserve">Manufacturing / Facility</w:t>
            </w:r>
          </w:p>
        </w:tc>
        <w:tc>
          <w:tcPr/>
          <w:p>
            <w:pPr>
              <w:pStyle w:val="Compact"/>
              <w:jc w:val="left"/>
            </w:pPr>
            <w:r>
              <w:t xml:space="preserve">5115 N 27th Ave, Bld 66, Phoenix, AZ 85017, Made in USA Con</w:t>
            </w:r>
          </w:p>
        </w:tc>
        <w:tc>
          <w:tcPr/>
          <w:p>
            <w:pPr>
              <w:pStyle w:val="Compact"/>
              <w:jc w:val="left"/>
            </w:pPr>
            <w:r>
              <w:t xml:space="preserve">sumer drip + trust</w:t>
            </w:r>
          </w:p>
        </w:tc>
      </w:tr>
      <w:tr>
        <w:tc>
          <w:tcPr/>
          <w:p>
            <w:pPr>
              <w:pStyle w:val="Compact"/>
              <w:jc w:val="left"/>
            </w:pPr>
            <w:r>
              <w:t xml:space="preserve">Red light co-use</w:t>
            </w:r>
          </w:p>
        </w:tc>
        <w:tc>
          <w:tcPr/>
          <w:p>
            <w:pPr>
              <w:pStyle w:val="Compact"/>
              <w:jc w:val="left"/>
            </w:pPr>
            <w:r>
              <w:t xml:space="preserve">90% of customers</w:t>
            </w:r>
          </w:p>
        </w:tc>
        <w:tc>
          <w:tcPr/>
          <w:p>
            <w:pPr>
              <w:pStyle w:val="Compact"/>
              <w:jc w:val="left"/>
            </w:pPr>
            <w:r>
              <w:t xml:space="preserve">Consumer + commercial</w:t>
            </w:r>
          </w:p>
        </w:tc>
      </w:tr>
      <w:tr>
        <w:tc>
          <w:tcPr/>
          <w:p>
            <w:pPr>
              <w:pStyle w:val="Compact"/>
              <w:jc w:val="left"/>
            </w:pPr>
            <w:r>
              <w:t xml:space="preserve">Referral discount</w:t>
            </w:r>
          </w:p>
        </w:tc>
        <w:tc>
          <w:tcPr/>
          <w:p>
            <w:pPr>
              <w:pStyle w:val="Compact"/>
              <w:jc w:val="left"/>
            </w:pPr>
            <w:r>
              <w:t xml:space="preserve">$150 off referee / $100 credit referrer WF</w:t>
            </w:r>
          </w:p>
        </w:tc>
        <w:tc>
          <w:tcPr/>
          <w:p>
            <w:pPr>
              <w:pStyle w:val="Compact"/>
              <w:jc w:val="left"/>
            </w:pPr>
            <w:r>
              <w:t xml:space="preserve">-07</w:t>
            </w:r>
          </w:p>
        </w:tc>
      </w:tr>
    </w:tbl>
    <w:bookmarkEnd w:id="70"/>
    <w:bookmarkStart w:id="73" w:name="X17ff4415c04741fc8a2aa7a70f1e07a23764a6c"/>
    <w:p>
      <w:pPr>
        <w:pStyle w:val="Heading1"/>
      </w:pPr>
      <w:r>
        <w:t xml:space="preserve">SECTION 19: OEM / WHITE-LABEL PARTNER PROGRAM</w:t>
      </w:r>
    </w:p>
    <w:bookmarkStart w:id="71" w:name="current-partner-lumanova-luma-d-light"/>
    <w:p>
      <w:pPr>
        <w:pStyle w:val="Heading2"/>
      </w:pPr>
      <w:r>
        <w:t xml:space="preserve">Current Partner, Lumanova / Luma D Light</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10"/>
        <w:tblLayout w:type="fixed"/>
        <w:tblLook w:firstRow="1" w:lastRow="0" w:firstColumn="0" w:lastColumn="0" w:noHBand="0" w:noVBand="0" w:val="0020"/>
      </w:tblPr>
      <w:tblGrid>
        <w:gridCol w:w="2568"/>
        <w:gridCol w:w="5208"/>
      </w:tblGrid>
      <w:tr>
        <w:trPr>
          <w:tblHeader w:val="on"/>
        </w:trPr>
        <w:tc>
          <w:tcPr/>
          <w:p>
            <w:pPr>
              <w:pStyle w:val="Compact"/>
              <w:jc w:val="left"/>
            </w:pPr>
            <w:r>
              <w:rPr>
                <w:b/>
                <w:bCs/>
              </w:rPr>
              <w:t xml:space="preserve">Attribute</w:t>
            </w:r>
          </w:p>
        </w:tc>
        <w:tc>
          <w:tcPr/>
          <w:p>
            <w:pPr>
              <w:pStyle w:val="Compact"/>
              <w:jc w:val="left"/>
            </w:pPr>
            <w:r>
              <w:rPr>
                <w:b/>
                <w:bCs/>
              </w:rPr>
              <w:t xml:space="preserve">Details</w:t>
            </w:r>
          </w:p>
        </w:tc>
      </w:tr>
      <w:tr>
        <w:tc>
          <w:tcPr/>
          <w:p>
            <w:pPr>
              <w:pStyle w:val="Compact"/>
              <w:jc w:val="left"/>
            </w:pPr>
            <w:r>
              <w:t xml:space="preserve">Partner Name</w:t>
            </w:r>
          </w:p>
        </w:tc>
        <w:tc>
          <w:tcPr/>
          <w:p>
            <w:pPr>
              <w:pStyle w:val="Compact"/>
              <w:jc w:val="left"/>
            </w:pPr>
            <w:r>
              <w:t xml:space="preserve">Lumanova</w:t>
            </w:r>
          </w:p>
        </w:tc>
      </w:tr>
      <w:tr>
        <w:tc>
          <w:tcPr/>
          <w:p>
            <w:pPr>
              <w:pStyle w:val="Compact"/>
              <w:jc w:val="left"/>
            </w:pPr>
            <w:r>
              <w:t xml:space="preserve">Product Brand</w:t>
            </w:r>
          </w:p>
        </w:tc>
        <w:tc>
          <w:tcPr/>
          <w:p>
            <w:pPr>
              <w:pStyle w:val="Compact"/>
              <w:jc w:val="left"/>
            </w:pPr>
            <w:r>
              <w:t xml:space="preserve">Luma D Light</w:t>
            </w:r>
          </w:p>
        </w:tc>
      </w:tr>
      <w:tr>
        <w:tc>
          <w:tcPr/>
          <w:p>
            <w:pPr>
              <w:pStyle w:val="Compact"/>
              <w:jc w:val="left"/>
            </w:pPr>
            <w:r>
              <w:t xml:space="preserve">Pricing</w:t>
            </w:r>
          </w:p>
        </w:tc>
        <w:tc>
          <w:tcPr/>
          <w:p>
            <w:pPr>
              <w:pStyle w:val="Compact"/>
              <w:jc w:val="left"/>
            </w:pPr>
            <w:r>
              <w:t xml:space="preserve">Same MSRP as Enyrgy: $2,995 / $8,950</w:t>
            </w:r>
          </w:p>
        </w:tc>
      </w:tr>
      <w:tr>
        <w:tc>
          <w:tcPr/>
          <w:p>
            <w:pPr>
              <w:pStyle w:val="Compact"/>
              <w:jc w:val="left"/>
            </w:pPr>
            <w:r>
              <w:t xml:space="preserve">Status</w:t>
            </w:r>
          </w:p>
        </w:tc>
        <w:tc>
          <w:tcPr/>
          <w:p>
            <w:pPr>
              <w:pStyle w:val="Compact"/>
              <w:jc w:val="left"/>
            </w:pPr>
            <w:r>
              <w:t xml:space="preserve">Active</w:t>
            </w:r>
          </w:p>
        </w:tc>
      </w:tr>
      <w:tr>
        <w:tc>
          <w:tcPr/>
          <w:p>
            <w:pPr>
              <w:pStyle w:val="Compact"/>
              <w:jc w:val="left"/>
            </w:pPr>
            <w:r>
              <w:t xml:space="preserve">Arrangement</w:t>
            </w:r>
          </w:p>
        </w:tc>
        <w:tc>
          <w:tcPr/>
          <w:p>
            <w:pPr>
              <w:pStyle w:val="Compact"/>
              <w:jc w:val="left"/>
            </w:pPr>
            <w:r>
              <w:t xml:space="preserve">OEM white-label; Lumanova sells under their brand, Enyrgy manufactures</w:t>
            </w:r>
          </w:p>
        </w:tc>
      </w:tr>
      <w:tr>
        <w:tc>
          <w:tcPr/>
          <w:p>
            <w:pPr>
              <w:pStyle w:val="Compact"/>
              <w:jc w:val="left"/>
            </w:pPr>
            <w:r>
              <w:t xml:space="preserve">Exclusivity</w:t>
            </w:r>
          </w:p>
        </w:tc>
        <w:tc>
          <w:tcPr/>
          <w:p>
            <w:pPr>
              <w:pStyle w:val="Compact"/>
              <w:jc w:val="left"/>
            </w:pPr>
            <w:r>
              <w:t xml:space="preserve">Black Unit</w:t>
            </w:r>
          </w:p>
        </w:tc>
      </w:tr>
      <w:tr>
        <w:tc>
          <w:tcPr/>
          <w:p>
            <w:pPr>
              <w:pStyle w:val="Compact"/>
              <w:jc w:val="left"/>
            </w:pPr>
            <w:r>
              <w:t xml:space="preserve">GHL Tags</w:t>
            </w:r>
          </w:p>
        </w:tc>
        <w:tc>
          <w:tcPr/>
          <w:p>
            <w:pPr>
              <w:pStyle w:val="Compact"/>
              <w:jc w:val="left"/>
            </w:pPr>
            <w:r>
              <w:t xml:space="preserve">type_partner + source_oem_lumanova + partnership_status active</w:t>
            </w:r>
          </w:p>
        </w:tc>
      </w:tr>
    </w:tbl>
    <w:bookmarkEnd w:id="71"/>
    <w:bookmarkStart w:id="72" w:name="X1515f5e0007ad2b6c27b7502d1a1f844382ed83"/>
    <w:p>
      <w:pPr>
        <w:pStyle w:val="Heading2"/>
      </w:pPr>
      <w:r>
        <w:t xml:space="preserve">Ideal Next OEM / Distribution Partner Profile</w:t>
      </w:r>
    </w:p>
    <w:p>
      <w:pPr>
        <w:pStyle w:val="FirstParagraph"/>
      </w:pPr>
      <w:r>
        <w:t xml:space="preserve">Distribution reach 25,000+ active customers; wellness franchise group, major distributor, or DTC health brand; US + at least 1 of UK/Canada/France/New Zealand; 50+ units/month within 12 months; premium science-backed brand fit.</w:t>
      </w:r>
    </w:p>
    <w:bookmarkEnd w:id="72"/>
    <w:bookmarkEnd w:id="73"/>
    <w:bookmarkStart w:id="77" w:name="X687f7c3bf0944ae043cba8026f5843164b87cda"/>
    <w:p>
      <w:pPr>
        <w:pStyle w:val="Heading1"/>
      </w:pPr>
      <w:r>
        <w:t xml:space="preserve">SECTION 20: TOP-OF-FUNNEL LEAD GENERATION STRATEGY</w:t>
      </w:r>
    </w:p>
    <w:p>
      <w:pPr>
        <w:pStyle w:val="FirstParagraph"/>
      </w:pPr>
      <w:r>
        <w:rPr>
          <w:b/>
          <w:bCs/>
        </w:rPr>
        <w:t xml:space="preserve">TOP-OF-FUNNEL RULE:</w:t>
      </w:r>
      <w:r>
        <w:t xml:space="preserve"> </w:t>
      </w:r>
      <w:r>
        <w:t xml:space="preserve">Every lead, regardless of source, must be in GHL within 24 hours. For human-sourced leads, enter the contact in the GHL mobile app before leaving the conversation. Leads not in GHL do not exist.</w:t>
      </w:r>
    </w:p>
    <w:bookmarkStart w:id="74" w:name="X4acb111ecfd5dd1f7062b33943386e83dc7f6dc"/>
    <w:p>
      <w:pPr>
        <w:pStyle w:val="Heading2"/>
      </w:pPr>
      <w:r>
        <w:t xml:space="preserve">Consumer Lead Magnets, ICP-Dartboard (NEW in v3.7)</w:t>
      </w:r>
    </w:p>
    <w:p>
      <w:pPr>
        <w:pStyle w:val="FirstParagraph"/>
      </w:pPr>
      <w:r>
        <w:t xml:space="preserve">The consumer lead-magnet strategy is implemented as the ICP-Dartboard system (full detail in Section 24). Live entry points:</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11"/>
        <w:tblLayout w:type="fixed"/>
        <w:tblLook w:firstRow="1" w:lastRow="0" w:firstColumn="0" w:lastColumn="0" w:noHBand="0" w:noVBand="0" w:val="0020"/>
      </w:tblPr>
      <w:tblGrid>
        <w:gridCol w:w="1131"/>
        <w:gridCol w:w="1272"/>
        <w:gridCol w:w="1838"/>
        <w:gridCol w:w="2404"/>
        <w:gridCol w:w="1131"/>
      </w:tblGrid>
      <w:tr>
        <w:trPr>
          <w:tblHeader w:val="on"/>
        </w:trPr>
        <w:tc>
          <w:tcPr/>
          <w:p>
            <w:pPr>
              <w:pStyle w:val="Compact"/>
              <w:jc w:val="left"/>
            </w:pPr>
            <w:r>
              <w:rPr>
                <w:b/>
                <w:bCs/>
              </w:rPr>
              <w:t xml:space="preserve">Ring</w:t>
            </w:r>
          </w:p>
        </w:tc>
        <w:tc>
          <w:tcPr/>
          <w:p>
            <w:pPr>
              <w:pStyle w:val="Compact"/>
              <w:jc w:val="left"/>
            </w:pPr>
            <w:r>
              <w:rPr>
                <w:b/>
                <w:bCs/>
              </w:rPr>
              <w:t xml:space="preserve">ICP</w:t>
            </w:r>
          </w:p>
        </w:tc>
        <w:tc>
          <w:tcPr/>
          <w:p>
            <w:pPr>
              <w:pStyle w:val="Compact"/>
              <w:jc w:val="left"/>
            </w:pPr>
            <w:r>
              <w:rPr>
                <w:b/>
                <w:bCs/>
              </w:rPr>
              <w:t xml:space="preserve">Magnet</w:t>
            </w:r>
          </w:p>
        </w:tc>
        <w:tc>
          <w:tcPr/>
          <w:p>
            <w:pPr>
              <w:pStyle w:val="Compact"/>
              <w:jc w:val="left"/>
            </w:pPr>
            <w:r>
              <w:rPr>
                <w:b/>
                <w:bCs/>
              </w:rPr>
              <w:t xml:space="preserve">Entry</w:t>
            </w:r>
          </w:p>
        </w:tc>
        <w:tc>
          <w:tcPr/>
          <w:p>
            <w:pPr>
              <w:pStyle w:val="Compact"/>
              <w:jc w:val="left"/>
            </w:pPr>
            <w:r>
              <w:rPr>
                <w:b/>
                <w:bCs/>
              </w:rPr>
              <w:t xml:space="preserve">Status</w:t>
            </w:r>
          </w:p>
        </w:tc>
      </w:tr>
      <w:tr>
        <w:tc>
          <w:tcPr/>
          <w:p>
            <w:pPr>
              <w:pStyle w:val="Compact"/>
              <w:jc w:val="left"/>
            </w:pPr>
            <w:r>
              <w:t xml:space="preserve">Bullseye</w:t>
            </w:r>
          </w:p>
        </w:tc>
        <w:tc>
          <w:tcPr/>
          <w:p>
            <w:pPr>
              <w:pStyle w:val="Compact"/>
              <w:jc w:val="left"/>
            </w:pPr>
            <w:r>
              <w:t xml:space="preserve">Stack Optimizer</w:t>
            </w:r>
          </w:p>
        </w:tc>
        <w:tc>
          <w:tcPr/>
          <w:p>
            <w:pPr>
              <w:pStyle w:val="Compact"/>
              <w:jc w:val="left"/>
            </w:pPr>
            <w:r>
              <w:t xml:space="preserve">Synthesis Gap Guide</w:t>
            </w:r>
          </w:p>
        </w:tc>
        <w:tc>
          <w:tcPr/>
          <w:p>
            <w:pPr>
              <w:pStyle w:val="Compact"/>
              <w:jc w:val="left"/>
            </w:pPr>
            <w:r>
              <w:t xml:space="preserve">go.enyrgy.com/synthesis-gap</w:t>
            </w:r>
          </w:p>
        </w:tc>
        <w:tc>
          <w:tcPr/>
          <w:p>
            <w:pPr>
              <w:pStyle w:val="Compact"/>
              <w:jc w:val="left"/>
            </w:pPr>
            <w:r>
              <w:t xml:space="preserve">Live</w:t>
            </w:r>
          </w:p>
        </w:tc>
      </w:tr>
      <w:tr>
        <w:tc>
          <w:tcPr/>
          <w:p>
            <w:pPr>
              <w:pStyle w:val="Compact"/>
              <w:jc w:val="left"/>
            </w:pPr>
            <w:r>
              <w:t xml:space="preserve">Inner Ring</w:t>
            </w:r>
          </w:p>
        </w:tc>
        <w:tc>
          <w:tcPr/>
          <w:p>
            <w:pPr>
              <w:pStyle w:val="Compact"/>
              <w:jc w:val="left"/>
            </w:pPr>
            <w:r>
              <w:t xml:space="preserve">Athlete</w:t>
            </w:r>
          </w:p>
        </w:tc>
        <w:tc>
          <w:tcPr/>
          <w:p>
            <w:pPr>
              <w:pStyle w:val="Compact"/>
              <w:jc w:val="left"/>
            </w:pPr>
            <w:r>
              <w:t xml:space="preserve">Recovery Protocol Guide</w:t>
            </w:r>
          </w:p>
        </w:tc>
        <w:tc>
          <w:tcPr/>
          <w:p>
            <w:pPr>
              <w:pStyle w:val="Compact"/>
              <w:jc w:val="left"/>
            </w:pPr>
            <w:r>
              <w:t xml:space="preserve">go.enyrgy.com/recovery-protocol</w:t>
            </w:r>
          </w:p>
        </w:tc>
        <w:tc>
          <w:tcPr/>
          <w:p>
            <w:pPr>
              <w:pStyle w:val="Compact"/>
              <w:jc w:val="left"/>
            </w:pPr>
            <w:r>
              <w:t xml:space="preserve">Live</w:t>
            </w:r>
          </w:p>
        </w:tc>
      </w:tr>
      <w:tr>
        <w:tc>
          <w:tcPr/>
          <w:p>
            <w:pPr>
              <w:pStyle w:val="Compact"/>
              <w:jc w:val="left"/>
            </w:pPr>
            <w:r>
              <w:t xml:space="preserve">Inner Ring</w:t>
            </w:r>
          </w:p>
        </w:tc>
        <w:tc>
          <w:tcPr/>
          <w:p>
            <w:pPr>
              <w:pStyle w:val="Compact"/>
              <w:jc w:val="left"/>
            </w:pPr>
            <w:r>
              <w:t xml:space="preserve">SAD (seasonal)</w:t>
            </w:r>
          </w:p>
        </w:tc>
        <w:tc>
          <w:tcPr/>
          <w:p>
            <w:pPr>
              <w:pStyle w:val="Compact"/>
              <w:jc w:val="left"/>
            </w:pPr>
            <w:r>
              <w:t xml:space="preserve">Winter Protocol Guide</w:t>
            </w:r>
          </w:p>
        </w:tc>
        <w:tc>
          <w:tcPr/>
          <w:p>
            <w:pPr>
              <w:pStyle w:val="Compact"/>
              <w:jc w:val="left"/>
            </w:pPr>
            <w:r>
              <w:t xml:space="preserve">go.enyrgy.com/winter-protocol</w:t>
            </w:r>
          </w:p>
        </w:tc>
        <w:tc>
          <w:tcPr/>
          <w:p>
            <w:pPr>
              <w:pStyle w:val="Compact"/>
              <w:jc w:val="left"/>
            </w:pPr>
            <w:r>
              <w:t xml:space="preserve">Live</w:t>
            </w:r>
          </w:p>
        </w:tc>
      </w:tr>
      <w:tr>
        <w:tc>
          <w:tcPr/>
          <w:p>
            <w:pPr>
              <w:pStyle w:val="Compact"/>
              <w:jc w:val="left"/>
            </w:pPr>
            <w:r>
              <w:t xml:space="preserve">Outer Ring</w:t>
            </w:r>
          </w:p>
        </w:tc>
        <w:tc>
          <w:tcPr/>
          <w:p>
            <w:pPr>
              <w:pStyle w:val="Compact"/>
              <w:jc w:val="left"/>
            </w:pPr>
            <w:r>
              <w:t xml:space="preserve">Energy/Sleep</w:t>
            </w:r>
          </w:p>
        </w:tc>
        <w:tc>
          <w:tcPr/>
          <w:p>
            <w:pPr>
              <w:pStyle w:val="Compact"/>
              <w:jc w:val="left"/>
            </w:pPr>
            <w:r>
              <w:t xml:space="preserve">Tired Test (quiz)</w:t>
            </w:r>
          </w:p>
        </w:tc>
        <w:tc>
          <w:tcPr/>
          <w:p>
            <w:pPr>
              <w:pStyle w:val="Compact"/>
              <w:jc w:val="left"/>
            </w:pPr>
            <w:r>
              <w:t xml:space="preserve">go.enyrgy.com/tired-test</w:t>
            </w:r>
          </w:p>
        </w:tc>
        <w:tc>
          <w:tcPr/>
          <w:p>
            <w:pPr>
              <w:pStyle w:val="Compact"/>
              <w:jc w:val="left"/>
            </w:pPr>
            <w:r>
              <w:t xml:space="preserve">Live</w:t>
            </w:r>
          </w:p>
        </w:tc>
      </w:tr>
      <w:tr>
        <w:tc>
          <w:tcPr/>
          <w:p>
            <w:pPr>
              <w:pStyle w:val="Compact"/>
              <w:jc w:val="left"/>
            </w:pPr>
            <w:r>
              <w:t xml:space="preserve">Everyone else</w:t>
            </w:r>
          </w:p>
        </w:tc>
        <w:tc>
          <w:tcPr/>
          <w:p>
            <w:pPr>
              <w:pStyle w:val="Compact"/>
              <w:jc w:val="left"/>
            </w:pPr>
            <w:r>
              <w:t xml:space="preserve">(all others)</w:t>
            </w:r>
          </w:p>
        </w:tc>
        <w:tc>
          <w:tcPr/>
          <w:p>
            <w:pPr>
              <w:pStyle w:val="Compact"/>
              <w:jc w:val="left"/>
            </w:pPr>
            <w:r>
              <w:t xml:space="preserve">contact-form leads</w:t>
            </w:r>
          </w:p>
        </w:tc>
        <w:tc>
          <w:tcPr/>
          <w:p>
            <w:pPr>
              <w:pStyle w:val="Compact"/>
              <w:jc w:val="left"/>
            </w:pPr>
            <w:r>
              <w:t xml:space="preserve">contact form</w:t>
            </w:r>
          </w:p>
        </w:tc>
        <w:tc>
          <w:tcPr/>
          <w:p>
            <w:pPr>
              <w:pStyle w:val="Compact"/>
              <w:jc w:val="left"/>
            </w:pPr>
            <w:r>
              <w:t xml:space="preserve">Consumer Drip</w:t>
            </w:r>
          </w:p>
        </w:tc>
      </w:tr>
    </w:tbl>
    <w:bookmarkEnd w:id="74"/>
    <w:bookmarkStart w:id="75" w:name="Xe3d2dae8991f0892c8c2daa36799b8b89543412"/>
    <w:p>
      <w:pPr>
        <w:pStyle w:val="Heading2"/>
      </w:pPr>
      <w:r>
        <w:t xml:space="preserve">Consumer Channels (feed the entry points above)</w:t>
      </w:r>
    </w:p>
    <w:p>
      <w:pPr>
        <w:pStyle w:val="FirstParagraph"/>
      </w:pPr>
      <w:r>
        <w:t xml:space="preserve">Podcast appearances (proven #1 channel), organic social (Vitamin D deficiency, seasonal mood, athletic recovery content), paid Meta/Google ads (Phase 2), referral program (WF-07), word-of-mouth/community, Lumanova/OEM channel.</w:t>
      </w:r>
    </w:p>
    <w:bookmarkEnd w:id="75"/>
    <w:bookmarkStart w:id="76" w:name="X381182024df858e43a1c7682279a9e1b008a029"/>
    <w:p>
      <w:pPr>
        <w:pStyle w:val="Heading2"/>
      </w:pPr>
      <w:r>
        <w:t xml:space="preserve">Commercial, Investor, Partner/Vendor Channels</w:t>
      </w:r>
    </w:p>
    <w:p>
      <w:pPr>
        <w:numPr>
          <w:ilvl w:val="0"/>
          <w:numId w:val="1012"/>
        </w:numPr>
      </w:pPr>
      <w:r>
        <w:rPr>
          <w:b/>
          <w:bCs/>
        </w:rPr>
        <w:t xml:space="preserve">Commercial:</w:t>
      </w:r>
      <w:r>
        <w:t xml:space="preserve"> </w:t>
      </w:r>
      <w:r>
        <w:t xml:space="preserve">LinkedIn prospecting, Google Maps scraping, trade shows (ISPA, A4M), OEM partner referrals, existing-customer referrals, red light studios.</w:t>
      </w:r>
    </w:p>
    <w:p>
      <w:pPr>
        <w:numPr>
          <w:ilvl w:val="0"/>
          <w:numId w:val="1012"/>
        </w:numPr>
      </w:pPr>
      <w:r>
        <w:rPr>
          <w:b/>
          <w:bCs/>
        </w:rPr>
        <w:t xml:space="preserve">Investor:</w:t>
      </w:r>
      <w:r>
        <w:t xml:space="preserve"> </w:t>
      </w:r>
      <w:r>
        <w:t xml:space="preserve">podcast inquiries, LinkedIn health-tech investors, existing customer network, AngelList/databases, current-investor referrals, real estate/accredited networks.</w:t>
      </w:r>
    </w:p>
    <w:p>
      <w:pPr>
        <w:numPr>
          <w:ilvl w:val="0"/>
          <w:numId w:val="1012"/>
        </w:numPr>
      </w:pPr>
      <w:r>
        <w:rPr>
          <w:b/>
          <w:bCs/>
        </w:rPr>
        <w:t xml:space="preserve">Partner/Vendor:</w:t>
      </w:r>
      <w:r>
        <w:t xml:space="preserve"> </w:t>
      </w:r>
      <w:r>
        <w:t xml:space="preserve">OEM/white-label targets (CRITICAL), large distributors, podcast/influencer affiliates, wellness franchises, clinical advisors, tech/app integration partners.</w:t>
      </w:r>
    </w:p>
    <w:bookmarkEnd w:id="76"/>
    <w:bookmarkEnd w:id="77"/>
    <w:bookmarkStart w:id="78" w:name="Xe534da5b7f79c50a2ecfe134b884e34329c6953"/>
    <w:p>
      <w:pPr>
        <w:pStyle w:val="Heading1"/>
      </w:pPr>
      <w:r>
        <w:t xml:space="preserve">SECTION 21: IMPLEMENTATION PHASES AND ROADMAP</w:t>
      </w:r>
    </w:p>
    <w:p>
      <w:pPr>
        <w:pStyle w:val="FirstParagraph"/>
      </w:pPr>
      <w:r>
        <w:rPr>
          <w:b/>
          <w:bCs/>
        </w:rPr>
        <w:t xml:space="preserve">Phase 1, GHL Foundation: COMPLETE.</w:t>
      </w:r>
      <w:r>
        <w:t xml:space="preserve"> </w:t>
      </w:r>
      <w:r>
        <w:t xml:space="preserve">Sub-account, 56 fields, ~92 tags, 5 pipelines, 6 calendars, SMS number, 6 forms, Trustpilot, Shopify policy updates.</w:t>
      </w:r>
    </w:p>
    <w:p>
      <w:pPr>
        <w:pStyle w:val="BodyText"/>
      </w:pPr>
      <w:r>
        <w:rPr>
          <w:b/>
          <w:bCs/>
        </w:rPr>
        <w:t xml:space="preserve">Phase 2, Paperclip Agent Setup: PENDING.</w:t>
      </w:r>
      <w:r>
        <w:t xml:space="preserve"> </w:t>
      </w:r>
      <w:r>
        <w:t xml:space="preserve">Connect Paperclip via API; configure CEO orchestrator; build COO + CRO divisions; load KB; configure compliance gate; test each agent on 5 sample contacts before going live.</w:t>
      </w:r>
    </w:p>
    <w:p>
      <w:pPr>
        <w:pStyle w:val="BodyText"/>
      </w:pPr>
      <w:r>
        <w:rPr>
          <w:b/>
          <w:bCs/>
        </w:rPr>
        <w:t xml:space="preserve">Phase 3, Drip Campaigns and Workflows: COMPLETE.</w:t>
      </w:r>
      <w:r>
        <w:t xml:space="preserve"> </w:t>
      </w:r>
      <w:r>
        <w:t xml:space="preserve">All 5 drips, branching logic, compliance gate, all core workflows.</w:t>
      </w:r>
      <w:r>
        <w:t xml:space="preserve"> </w:t>
      </w:r>
      <w:r>
        <w:rPr>
          <w:b/>
          <w:bCs/>
        </w:rPr>
        <w:t xml:space="preserve">NEW (v3.7): consumer funnel workflows WF-11-18 built and published; drip_bypass gating wired.</w:t>
      </w:r>
    </w:p>
    <w:p>
      <w:pPr>
        <w:pStyle w:val="BodyText"/>
      </w:pPr>
      <w:r>
        <w:rPr>
          <w:b/>
          <w:bCs/>
        </w:rPr>
        <w:t xml:space="preserve">Phase 4, Content Loading: IN PROGRESS.</w:t>
      </w:r>
      <w:r>
        <w:t xml:space="preserve"> </w:t>
      </w:r>
      <w:r>
        <w:t xml:space="preserve">Templates loaded; voicemail recordings and commercial ROI PDF still needed; PPM attorney-approved.</w:t>
      </w:r>
      <w:r>
        <w:t xml:space="preserve"> </w:t>
      </w:r>
      <w:r>
        <w:rPr>
          <w:b/>
          <w:bCs/>
        </w:rPr>
        <w:t xml:space="preserve">NEW (v3.7): four consumer magnet assets built and skill-refined; two landing pages live.</w:t>
      </w:r>
    </w:p>
    <w:p>
      <w:pPr>
        <w:pStyle w:val="BodyText"/>
      </w:pPr>
      <w:r>
        <w:rPr>
          <w:b/>
          <w:bCs/>
        </w:rPr>
        <w:t xml:space="preserve">Phase 5, Go Live and Optimization: IN PROGRESS.</w:t>
      </w:r>
      <w:r>
        <w:t xml:space="preserve"> </w:t>
      </w:r>
      <w:r>
        <w:t xml:space="preserve">Two consumer funnels live and tested end-to-end; reporting dashboards and full agent launch still ahead.</w:t>
      </w:r>
      <w:r>
        <w:t xml:space="preserve"> </w:t>
      </w:r>
      <w:r>
        <w:rPr>
          <w:b/>
          <w:bCs/>
        </w:rPr>
        <w:t xml:space="preserve">NEW (v3.7): dedicated sending domain live; sender identity solved.</w:t>
      </w:r>
    </w:p>
    <w:bookmarkEnd w:id="78"/>
    <w:bookmarkStart w:id="83" w:name="section-22-client-type-playbooks"/>
    <w:p>
      <w:pPr>
        <w:pStyle w:val="Heading1"/>
      </w:pPr>
      <w:r>
        <w:t xml:space="preserve">SECTION 22: CLIENT TYPE PLAYBOOKS</w:t>
      </w:r>
    </w:p>
    <w:bookmarkStart w:id="79" w:name="consumer-playbook-discovery-questions"/>
    <w:p>
      <w:pPr>
        <w:pStyle w:val="Heading2"/>
      </w:pPr>
      <w:r>
        <w:t xml:space="preserve">Consumer Playbook, Discovery Questions</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33"/>
        <w:tblLayout w:type="fixed"/>
        <w:tblLook w:firstRow="1" w:lastRow="0" w:firstColumn="0" w:lastColumn="0" w:noHBand="0" w:noVBand="0" w:val="0020"/>
      </w:tblPr>
      <w:tblGrid>
        <w:gridCol w:w="1742"/>
        <w:gridCol w:w="1900"/>
        <w:gridCol w:w="4171"/>
      </w:tblGrid>
      <w:tr>
        <w:trPr>
          <w:tblHeader w:val="on"/>
        </w:trPr>
        <w:tc>
          <w:tcPr/>
          <w:p>
            <w:pPr>
              <w:pStyle w:val="Compact"/>
              <w:jc w:val="left"/>
            </w:pPr>
            <w:r>
              <w:rPr>
                <w:b/>
                <w:bCs/>
              </w:rPr>
              <w:t xml:space="preserve">Question</w:t>
            </w:r>
          </w:p>
        </w:tc>
        <w:tc>
          <w:tcPr/>
          <w:p>
            <w:pPr>
              <w:pStyle w:val="Compact"/>
              <w:jc w:val="left"/>
            </w:pPr>
            <w:r>
              <w:rPr>
                <w:b/>
                <w:bCs/>
              </w:rPr>
              <w:t xml:space="preserve">Field</w:t>
            </w:r>
          </w:p>
        </w:tc>
        <w:tc>
          <w:tcPr/>
          <w:p>
            <w:pPr>
              <w:pStyle w:val="Compact"/>
              <w:jc w:val="left"/>
            </w:pPr>
            <w:r>
              <w:rPr>
                <w:b/>
                <w:bCs/>
              </w:rPr>
              <w:t xml:space="preserve">Routing</w:t>
            </w:r>
          </w:p>
        </w:tc>
      </w:tr>
      <w:tr>
        <w:tc>
          <w:tcPr/>
          <w:p>
            <w:pPr>
              <w:pStyle w:val="Compact"/>
              <w:jc w:val="left"/>
            </w:pPr>
            <w:r>
              <w:t xml:space="preserve">Vitamin D tested recently?</w:t>
            </w:r>
          </w:p>
        </w:tc>
        <w:tc>
          <w:tcPr/>
          <w:p>
            <w:pPr>
              <w:pStyle w:val="Compact"/>
              <w:jc w:val="left"/>
            </w:pPr>
            <w:r>
              <w:t xml:space="preserve">vitamin_d_deficient_self_reported</w:t>
            </w:r>
          </w:p>
        </w:tc>
        <w:tc>
          <w:tcPr/>
          <w:p>
            <w:pPr>
              <w:pStyle w:val="Compact"/>
              <w:jc w:val="left"/>
            </w:pPr>
            <w:r>
              <w:t xml:space="preserve">Below 40 ng/mL -&gt; high urgency; Unknown -&gt; test kit link</w:t>
            </w:r>
          </w:p>
        </w:tc>
      </w:tr>
      <w:tr>
        <w:tc>
          <w:tcPr/>
          <w:p>
            <w:pPr>
              <w:pStyle w:val="Compact"/>
              <w:jc w:val="left"/>
            </w:pPr>
            <w:r>
              <w:t xml:space="preserve">Currently using for Vitamin D?</w:t>
            </w:r>
          </w:p>
        </w:tc>
        <w:tc>
          <w:tcPr/>
          <w:p>
            <w:pPr>
              <w:pStyle w:val="Compact"/>
              <w:jc w:val="left"/>
            </w:pPr>
            <w:r>
              <w:t xml:space="preserve">current_solution</w:t>
            </w:r>
          </w:p>
        </w:tc>
        <w:tc>
          <w:tcPr/>
          <w:p>
            <w:pPr>
              <w:pStyle w:val="Compact"/>
              <w:jc w:val="left"/>
            </w:pPr>
            <w:r>
              <w:t xml:space="preserve">Supplements -&gt; absorption advantage; Red light -&gt; complementary (90% use both)</w:t>
            </w:r>
          </w:p>
        </w:tc>
      </w:tr>
      <w:tr>
        <w:tc>
          <w:tcPr/>
          <w:p>
            <w:pPr>
              <w:pStyle w:val="Compact"/>
              <w:jc w:val="left"/>
            </w:pPr>
            <w:r>
              <w:t xml:space="preserve">Main health goal?</w:t>
            </w:r>
          </w:p>
        </w:tc>
        <w:tc>
          <w:tcPr/>
          <w:p>
            <w:pPr>
              <w:pStyle w:val="Compact"/>
              <w:jc w:val="left"/>
            </w:pPr>
            <w:r>
              <w:t xml:space="preserve">health_goal</w:t>
            </w:r>
          </w:p>
        </w:tc>
        <w:tc>
          <w:tcPr/>
          <w:p>
            <w:pPr>
              <w:pStyle w:val="Compact"/>
              <w:jc w:val="left"/>
            </w:pPr>
            <w:r>
              <w:t xml:space="preserve">Routes to drip variant; personalizes messaging</w:t>
            </w:r>
          </w:p>
        </w:tc>
      </w:tr>
      <w:tr>
        <w:tc>
          <w:tcPr/>
          <w:p>
            <w:pPr>
              <w:pStyle w:val="Compact"/>
              <w:jc w:val="left"/>
            </w:pPr>
            <w:r>
              <w:t xml:space="preserve">Skin tone (Fitzpatrick I-VI)?</w:t>
            </w:r>
          </w:p>
        </w:tc>
        <w:tc>
          <w:tcPr/>
          <w:p>
            <w:pPr>
              <w:pStyle w:val="Compact"/>
              <w:jc w:val="left"/>
            </w:pPr>
            <w:r>
              <w:t xml:space="preserve">skin_type_fitzpatrick</w:t>
            </w:r>
          </w:p>
        </w:tc>
        <w:tc>
          <w:tcPr/>
          <w:p>
            <w:pPr>
              <w:pStyle w:val="Compact"/>
              <w:jc w:val="left"/>
            </w:pPr>
            <w:r>
              <w:t xml:space="preserve">Sets MED protocol expectations</w:t>
            </w:r>
          </w:p>
        </w:tc>
      </w:tr>
      <w:tr>
        <w:tc>
          <w:tcPr/>
          <w:p>
            <w:pPr>
              <w:pStyle w:val="Compact"/>
              <w:jc w:val="left"/>
            </w:pPr>
            <w:r>
              <w:t xml:space="preserve">Personal, family, or gift?</w:t>
            </w:r>
          </w:p>
        </w:tc>
        <w:tc>
          <w:tcPr/>
          <w:p>
            <w:pPr>
              <w:pStyle w:val="Compact"/>
              <w:jc w:val="left"/>
            </w:pPr>
            <w:r>
              <w:t xml:space="preserve">use_case</w:t>
            </w:r>
          </w:p>
        </w:tc>
        <w:tc>
          <w:tcPr/>
          <w:p>
            <w:pPr>
              <w:pStyle w:val="Compact"/>
              <w:jc w:val="left"/>
            </w:pPr>
            <w:r>
              <w:t xml:space="preserve">Family -&gt; shared value; Athlete -&gt; recovery angle</w:t>
            </w:r>
          </w:p>
        </w:tc>
      </w:tr>
      <w:tr>
        <w:tc>
          <w:tcPr/>
          <w:p>
            <w:pPr>
              <w:pStyle w:val="Compact"/>
              <w:jc w:val="left"/>
            </w:pPr>
            <w:r>
              <w:t xml:space="preserve">How did you hear about us?</w:t>
            </w:r>
          </w:p>
        </w:tc>
        <w:tc>
          <w:tcPr/>
          <w:p>
            <w:pPr>
              <w:pStyle w:val="Compact"/>
              <w:jc w:val="left"/>
            </w:pPr>
            <w:r>
              <w:t xml:space="preserve">how_heard_podcast</w:t>
            </w:r>
          </w:p>
        </w:tc>
        <w:tc>
          <w:tcPr/>
          <w:p>
            <w:pPr>
              <w:pStyle w:val="Compact"/>
              <w:jc w:val="left"/>
            </w:pPr>
            <w:r>
              <w:t xml:space="preserve">Attribution; which podcast drives conversion</w:t>
            </w:r>
          </w:p>
        </w:tc>
      </w:tr>
    </w:tbl>
    <w:bookmarkEnd w:id="79"/>
    <w:bookmarkStart w:id="80" w:name="top-consumer-objections"/>
    <w:p>
      <w:pPr>
        <w:pStyle w:val="Heading2"/>
      </w:pPr>
      <w:r>
        <w:t xml:space="preserve">Top Consumer Objections</w:t>
      </w:r>
    </w:p>
    <w:p>
      <w:pPr>
        <w:numPr>
          <w:ilvl w:val="0"/>
          <w:numId w:val="1013"/>
        </w:numPr>
      </w:pPr>
      <w:r>
        <w:rPr>
          <w:b/>
          <w:bCs/>
        </w:rPr>
        <w:t xml:space="preserve">Is this safe? (UV worry):</w:t>
      </w:r>
      <w:r>
        <w:t xml:space="preserve"> </w:t>
      </w:r>
      <w:r>
        <w:t xml:space="preserve">&gt;90% UVB / &lt;10% UVA, the opposite of sunlight (95% UVA). App calculates personal MED by skin type and shuts off automatically. 25,000+ sessions, zero burns/adverse events.</w:t>
      </w:r>
    </w:p>
    <w:p>
      <w:pPr>
        <w:numPr>
          <w:ilvl w:val="0"/>
          <w:numId w:val="1013"/>
        </w:numPr>
      </w:pPr>
      <w:r>
        <w:rPr>
          <w:b/>
          <w:bCs/>
        </w:rPr>
        <w:t xml:space="preserve">I take supplements, why this?:</w:t>
      </w:r>
      <w:r>
        <w:t xml:space="preserve"> </w:t>
      </w:r>
      <w:r>
        <w:t xml:space="preserve">1 in 4 cannot effectively absorb oral Vitamin D. Supplements deliver one pathway only; they cannot trigger Nitric Oxide or Serotonin. Enyrgy activates all three in 2-4 minutes.</w:t>
      </w:r>
    </w:p>
    <w:p>
      <w:pPr>
        <w:numPr>
          <w:ilvl w:val="0"/>
          <w:numId w:val="1013"/>
        </w:numPr>
      </w:pPr>
      <w:r>
        <w:rPr>
          <w:b/>
          <w:bCs/>
        </w:rPr>
        <w:t xml:space="preserve">$2,995 is a lot:</w:t>
      </w:r>
      <w:r>
        <w:t xml:space="preserve"> </w:t>
      </w:r>
      <w:r>
        <w:t xml:space="preserve">$2.30/session over 5 years at 5x/week. Supplements run $600-$1,200/year with absorption uncertainty. Financing available. &lt;1% return rate.</w:t>
      </w:r>
    </w:p>
    <w:p>
      <w:pPr>
        <w:numPr>
          <w:ilvl w:val="0"/>
          <w:numId w:val="1013"/>
        </w:numPr>
      </w:pPr>
      <w:r>
        <w:rPr>
          <w:b/>
          <w:bCs/>
        </w:rPr>
        <w:t xml:space="preserve">I’ll just go outside:</w:t>
      </w:r>
      <w:r>
        <w:t xml:space="preserve"> </w:t>
      </w:r>
      <w:r>
        <w:t xml:space="preserve">Therapeutic UVB needs 2-4 hours of mid-day sun (plus UVA aging/cancer risk). Enyrgy does it in 2-4 minutes, 60x efficiency, no downside.</w:t>
      </w:r>
    </w:p>
    <w:p>
      <w:pPr>
        <w:numPr>
          <w:ilvl w:val="0"/>
          <w:numId w:val="1013"/>
        </w:numPr>
      </w:pPr>
      <w:r>
        <w:rPr>
          <w:b/>
          <w:bCs/>
        </w:rPr>
        <w:t xml:space="preserve">What does the FDA say?:</w:t>
      </w:r>
      <w:r>
        <w:t xml:space="preserve"> </w:t>
      </w:r>
      <w:r>
        <w:t xml:space="preserve">Wellness device, not medical; makes no medical claims. Results backed by peer-reviewed science; advisory board includes Dr. Bruce Hollis.</w:t>
      </w:r>
    </w:p>
    <w:bookmarkEnd w:id="80"/>
    <w:bookmarkStart w:id="81" w:name="commercial-playbook"/>
    <w:p>
      <w:pPr>
        <w:pStyle w:val="Heading2"/>
      </w:pPr>
      <w:r>
        <w:t xml:space="preserve">Commercial Playbook</w:t>
      </w:r>
    </w:p>
    <w:p>
      <w:pPr>
        <w:pStyle w:val="FirstParagraph"/>
      </w:pPr>
      <w:r>
        <w:rPr>
          <w:b/>
          <w:bCs/>
        </w:rPr>
        <w:t xml:space="preserve">Anchor:</w:t>
      </w:r>
      <w:r>
        <w:t xml:space="preserve"> </w:t>
      </w:r>
      <w:r>
        <w:t xml:space="preserve">$8,950 unit; at 5 sessions/day at $50 at 250 days = $62,500 Year 1 gross; $53,550 net = 6.0x ROI.</w:t>
      </w:r>
    </w:p>
    <w:p>
      <w:pPr>
        <w:numPr>
          <w:ilvl w:val="0"/>
          <w:numId w:val="1014"/>
        </w:numPr>
      </w:pPr>
      <w:r>
        <w:rPr>
          <w:b/>
          <w:bCs/>
        </w:rPr>
        <w:t xml:space="preserve">We already have red light:</w:t>
      </w:r>
      <w:r>
        <w:t xml:space="preserve"> </w:t>
      </w:r>
      <w:r>
        <w:t xml:space="preserve">90% of Enyrgy customers use both, different biological purposes. Upsell, not replacement.</w:t>
      </w:r>
    </w:p>
    <w:p>
      <w:pPr>
        <w:numPr>
          <w:ilvl w:val="0"/>
          <w:numId w:val="1014"/>
        </w:numPr>
      </w:pPr>
      <w:r>
        <w:rPr>
          <w:b/>
          <w:bCs/>
        </w:rPr>
        <w:t xml:space="preserve">Would clients pay?:</w:t>
      </w:r>
      <w:r>
        <w:t xml:space="preserve"> </w:t>
      </w:r>
      <w:r>
        <w:t xml:space="preserve">Vitamin D deficiency affects 77% of indoor adults. Operators charge $40-$75/session.</w:t>
      </w:r>
    </w:p>
    <w:p>
      <w:pPr>
        <w:numPr>
          <w:ilvl w:val="0"/>
          <w:numId w:val="1014"/>
        </w:numPr>
      </w:pPr>
      <w:r>
        <w:rPr>
          <w:b/>
          <w:bCs/>
        </w:rPr>
        <w:t xml:space="preserve">Staff training?:</w:t>
      </w:r>
      <w:r>
        <w:t xml:space="preserve"> </w:t>
      </w:r>
      <w:r>
        <w:t xml:space="preserve">Included; the app calculates each client’s MED and controls the session.</w:t>
      </w:r>
    </w:p>
    <w:bookmarkEnd w:id="81"/>
    <w:bookmarkStart w:id="82" w:name="investor-playbook-pitch-flow"/>
    <w:p>
      <w:pPr>
        <w:pStyle w:val="Heading2"/>
      </w:pPr>
      <w:r>
        <w:t xml:space="preserve">Investor Playbook, Pitch Flow</w:t>
      </w:r>
    </w:p>
    <w:p>
      <w:pPr>
        <w:numPr>
          <w:ilvl w:val="0"/>
          <w:numId w:val="1015"/>
        </w:numPr>
      </w:pPr>
      <w:r>
        <w:t xml:space="preserve">Company &amp; Problem (5 min): 3.8B deficient worldwide, supplements fail 1 in 4, no scalable UVB solution.</w:t>
      </w:r>
    </w:p>
    <w:p>
      <w:pPr>
        <w:numPr>
          <w:ilvl w:val="0"/>
          <w:numId w:val="1015"/>
        </w:numPr>
      </w:pPr>
      <w:r>
        <w:t xml:space="preserve">Solution &amp; Technology (5 min): triple pathway, app-controlled, patented LED card, Made in Phoenix AZ.</w:t>
      </w:r>
    </w:p>
    <w:p>
      <w:pPr>
        <w:numPr>
          <w:ilvl w:val="0"/>
          <w:numId w:val="1015"/>
        </w:numPr>
      </w:pPr>
      <w:r>
        <w:t xml:space="preserve">Traction (5 min): 600+ customers, 25,000+ treatments, &lt;1% return, 5 countries, $14,700+ MRR, zero paid ads.</w:t>
      </w:r>
    </w:p>
    <w:p>
      <w:pPr>
        <w:numPr>
          <w:ilvl w:val="0"/>
          <w:numId w:val="1015"/>
        </w:numPr>
      </w:pPr>
      <w:r>
        <w:t xml:space="preserve">Market &amp; Model (5 min): $2,995/$8,950/OEM, 66-78% margins.</w:t>
      </w:r>
    </w:p>
    <w:p>
      <w:pPr>
        <w:numPr>
          <w:ilvl w:val="0"/>
          <w:numId w:val="1015"/>
        </w:numPr>
      </w:pPr>
      <w:r>
        <w:t xml:space="preserve">The Ask (3 min): $3.5M private credit at 12%/3yr, $50K min, exit $100-150M in 5 years (10-15x).</w:t>
      </w:r>
    </w:p>
    <w:p>
      <w:pPr>
        <w:numPr>
          <w:ilvl w:val="0"/>
          <w:numId w:val="1015"/>
        </w:numPr>
      </w:pPr>
      <w:r>
        <w:t xml:space="preserve">PPM sent after intro meeting. No accreditation required for PPM delivery. Accreditation form sent when investor signals intent to commit.</w:t>
      </w:r>
    </w:p>
    <w:p>
      <w:pPr>
        <w:pStyle w:val="FirstParagraph"/>
      </w:pPr>
      <w:r>
        <w:rPr>
          <w:b/>
          <w:bCs/>
        </w:rPr>
        <w:t xml:space="preserve">Investor Objections:</w:t>
      </w:r>
      <w:r>
        <w:t xml:space="preserve"> </w:t>
      </w:r>
      <w:r>
        <w:t xml:space="preserve">equity upside -&gt; conversion option at 20% discount to SEC valuation; crowded market -&gt; category of one (all three pathways); exit -&gt; strategic acquisition $100-150M, buyer profiles Philips/Apple Health/Peloton/AG1/LVMH.</w:t>
      </w:r>
    </w:p>
    <w:bookmarkEnd w:id="82"/>
    <w:bookmarkEnd w:id="83"/>
    <w:bookmarkStart w:id="84" w:name="section-23-contact"/>
    <w:p>
      <w:pPr>
        <w:pStyle w:val="Heading1"/>
      </w:pPr>
      <w:r>
        <w:t xml:space="preserve">SECTION 23: CONTACT</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892"/>
        <w:tblLayout w:type="fixed"/>
        <w:tblLook w:firstRow="1" w:lastRow="0" w:firstColumn="0" w:lastColumn="0" w:noHBand="0" w:noVBand="0" w:val="0020"/>
      </w:tblPr>
      <w:tblGrid>
        <w:gridCol w:w="1618"/>
        <w:gridCol w:w="2129"/>
        <w:gridCol w:w="2469"/>
        <w:gridCol w:w="1532"/>
      </w:tblGrid>
      <w:tr>
        <w:trPr>
          <w:tblHeader w:val="on"/>
        </w:trPr>
        <w:tc>
          <w:tcPr/>
          <w:p>
            <w:pPr>
              <w:pStyle w:val="Compact"/>
              <w:jc w:val="left"/>
            </w:pPr>
            <w:r>
              <w:rPr>
                <w:b/>
                <w:bCs/>
              </w:rPr>
              <w:t xml:space="preserve">Name</w:t>
            </w:r>
          </w:p>
        </w:tc>
        <w:tc>
          <w:tcPr/>
          <w:p>
            <w:pPr>
              <w:pStyle w:val="Compact"/>
              <w:jc w:val="left"/>
            </w:pPr>
            <w:r>
              <w:rPr>
                <w:b/>
                <w:bCs/>
              </w:rPr>
              <w:t xml:space="preserve">Role</w:t>
            </w:r>
          </w:p>
        </w:tc>
        <w:tc>
          <w:tcPr/>
          <w:p>
            <w:pPr>
              <w:pStyle w:val="Compact"/>
              <w:jc w:val="left"/>
            </w:pPr>
            <w:r>
              <w:rPr>
                <w:b/>
                <w:bCs/>
              </w:rPr>
              <w:t xml:space="preserve">Email</w:t>
            </w:r>
          </w:p>
        </w:tc>
        <w:tc>
          <w:tcPr/>
          <w:p>
            <w:pPr>
              <w:pStyle w:val="Compact"/>
              <w:jc w:val="left"/>
            </w:pPr>
            <w:r>
              <w:rPr>
                <w:b/>
                <w:bCs/>
              </w:rPr>
              <w:t xml:space="preserve">Phone</w:t>
            </w:r>
          </w:p>
        </w:tc>
      </w:tr>
      <w:tr>
        <w:tc>
          <w:tcPr/>
          <w:p>
            <w:pPr>
              <w:pStyle w:val="Compact"/>
              <w:jc w:val="left"/>
            </w:pPr>
            <w:r>
              <w:t xml:space="preserve">Scott Hansbury</w:t>
            </w:r>
          </w:p>
        </w:tc>
        <w:tc>
          <w:tcPr/>
          <w:p>
            <w:pPr>
              <w:pStyle w:val="Compact"/>
              <w:jc w:val="left"/>
            </w:pPr>
            <w:r>
              <w:t xml:space="preserve">Co-founder &amp; CEO</w:t>
            </w:r>
          </w:p>
        </w:tc>
        <w:tc>
          <w:tcPr/>
          <w:p>
            <w:pPr>
              <w:pStyle w:val="Compact"/>
              <w:jc w:val="left"/>
            </w:pPr>
            <w:r>
              <w:t xml:space="preserve">scott@enyrgy.com</w:t>
            </w:r>
          </w:p>
        </w:tc>
        <w:tc>
          <w:tcPr/>
          <w:p>
            <w:pPr>
              <w:pStyle w:val="Compact"/>
              <w:jc w:val="left"/>
            </w:pPr>
            <w:r>
              <w:t xml:space="preserve">602-321-0322</w:t>
            </w:r>
          </w:p>
        </w:tc>
      </w:tr>
      <w:tr>
        <w:tc>
          <w:tcPr/>
          <w:p>
            <w:pPr>
              <w:pStyle w:val="Compact"/>
              <w:jc w:val="left"/>
            </w:pPr>
            <w:r>
              <w:t xml:space="preserve">David Letourneau</w:t>
            </w:r>
          </w:p>
        </w:tc>
        <w:tc>
          <w:tcPr/>
          <w:p>
            <w:pPr>
              <w:pStyle w:val="Compact"/>
              <w:jc w:val="left"/>
            </w:pPr>
            <w:r>
              <w:t xml:space="preserve">President &amp; Co-Founder</w:t>
            </w:r>
          </w:p>
        </w:tc>
        <w:tc>
          <w:tcPr/>
          <w:p>
            <w:pPr>
              <w:pStyle w:val="Compact"/>
              <w:jc w:val="left"/>
            </w:pPr>
            <w:r>
              <w:t xml:space="preserve">david@enyrgy.com</w:t>
            </w:r>
          </w:p>
        </w:tc>
        <w:tc>
          <w:tcPr/>
          <w:p>
            <w:pPr>
              <w:pStyle w:val="Compact"/>
              <w:jc w:val="left"/>
            </w:pPr>
            <w:r>
              <w:t xml:space="preserve">602-625-6607</w:t>
            </w:r>
          </w:p>
        </w:tc>
      </w:tr>
      <w:tr>
        <w:tc>
          <w:tcPr/>
          <w:p>
            <w:pPr>
              <w:pStyle w:val="Compact"/>
              <w:jc w:val="left"/>
            </w:pPr>
            <w:r>
              <w:t xml:space="preserve">Brian Cameron</w:t>
            </w:r>
          </w:p>
        </w:tc>
        <w:tc>
          <w:tcPr/>
          <w:p>
            <w:pPr>
              <w:pStyle w:val="Compact"/>
              <w:jc w:val="left"/>
            </w:pPr>
            <w:r>
              <w:t xml:space="preserve">CFO</w:t>
            </w:r>
          </w:p>
        </w:tc>
        <w:tc>
          <w:tcPr/>
          <w:p>
            <w:pPr>
              <w:pStyle w:val="Compact"/>
              <w:jc w:val="left"/>
            </w:pPr>
            <w:r>
              <w:t xml:space="preserve">bcameron@brian-cameron.com</w:t>
            </w:r>
          </w:p>
        </w:tc>
        <w:tc>
          <w:tcPr/>
          <w:p>
            <w:pPr>
              <w:pStyle w:val="Compact"/>
              <w:jc w:val="left"/>
            </w:pPr>
            <w:r>
              <w:t xml:space="preserve">602-865-9356</w:t>
            </w:r>
          </w:p>
        </w:tc>
      </w:tr>
      <w:tr>
        <w:tc>
          <w:tcPr/>
          <w:p>
            <w:pPr>
              <w:pStyle w:val="Compact"/>
              <w:jc w:val="left"/>
            </w:pPr>
            <w:r>
              <w:t xml:space="preserve">Dennis Lan</w:t>
            </w:r>
          </w:p>
        </w:tc>
        <w:tc>
          <w:tcPr/>
          <w:p>
            <w:pPr>
              <w:pStyle w:val="Compact"/>
              <w:jc w:val="left"/>
            </w:pPr>
            <w:r>
              <w:t xml:space="preserve">Director, Supply Chain ,</w:t>
            </w:r>
          </w:p>
        </w:tc>
        <w:tc>
          <w:tcPr/>
          <w:p>
            <w:pPr>
              <w:pStyle w:val="Compact"/>
              <w:jc w:val="left"/>
            </w:pPr>
            <w:r>
              <w:t xml:space="preserve">—</w:t>
            </w:r>
          </w:p>
        </w:tc>
        <w:tc>
          <w:tcPr/>
          <w:p>
            <w:pPr>
              <w:pStyle w:val="Compact"/>
            </w:pPr>
          </w:p>
        </w:tc>
      </w:tr>
      <w:tr>
        <w:tc>
          <w:tcPr/>
          <w:p>
            <w:pPr>
              <w:pStyle w:val="Compact"/>
              <w:jc w:val="left"/>
            </w:pPr>
            <w:r>
              <w:t xml:space="preserve">Dario Pompeii</w:t>
            </w:r>
          </w:p>
        </w:tc>
        <w:tc>
          <w:tcPr/>
          <w:p>
            <w:pPr>
              <w:pStyle w:val="Compact"/>
              <w:jc w:val="left"/>
            </w:pPr>
            <w:r>
              <w:t xml:space="preserve">Senior Engineer ,</w:t>
            </w:r>
          </w:p>
        </w:tc>
        <w:tc>
          <w:tcPr/>
          <w:p>
            <w:pPr>
              <w:pStyle w:val="Compact"/>
              <w:jc w:val="left"/>
            </w:pPr>
            <w:r>
              <w:t xml:space="preserve">—</w:t>
            </w:r>
          </w:p>
        </w:tc>
        <w:tc>
          <w:tcPr/>
          <w:p>
            <w:pPr>
              <w:pStyle w:val="Compact"/>
            </w:pPr>
          </w:p>
        </w:tc>
      </w:tr>
      <w:tr>
        <w:tc>
          <w:tcPr/>
          <w:p>
            <w:pPr>
              <w:pStyle w:val="Compact"/>
              <w:jc w:val="left"/>
            </w:pPr>
            <w:r>
              <w:t xml:space="preserve">Millie Carrillo</w:t>
            </w:r>
          </w:p>
        </w:tc>
        <w:tc>
          <w:tcPr/>
          <w:p>
            <w:pPr>
              <w:pStyle w:val="Compact"/>
              <w:jc w:val="left"/>
            </w:pPr>
            <w:r>
              <w:t xml:space="preserve">Affiliate Manager ,</w:t>
            </w:r>
          </w:p>
        </w:tc>
        <w:tc>
          <w:tcPr/>
          <w:p>
            <w:pPr>
              <w:pStyle w:val="Compact"/>
              <w:jc w:val="left"/>
            </w:pPr>
            <w:r>
              <w:t xml:space="preserve">—</w:t>
            </w:r>
          </w:p>
        </w:tc>
        <w:tc>
          <w:tcPr/>
          <w:p>
            <w:pPr>
              <w:pStyle w:val="Compact"/>
            </w:pPr>
          </w:p>
        </w:tc>
      </w:tr>
      <w:tr>
        <w:tc>
          <w:tcPr/>
          <w:p>
            <w:pPr>
              <w:pStyle w:val="Compact"/>
              <w:jc w:val="left"/>
            </w:pPr>
            <w:r>
              <w:t xml:space="preserve">Thea Cartier</w:t>
            </w:r>
          </w:p>
        </w:tc>
        <w:tc>
          <w:tcPr/>
          <w:p>
            <w:pPr>
              <w:pStyle w:val="Compact"/>
              <w:jc w:val="left"/>
            </w:pPr>
            <w:r>
              <w:t xml:space="preserve">Social Media Manager ,</w:t>
            </w:r>
          </w:p>
        </w:tc>
        <w:tc>
          <w:tcPr/>
          <w:p>
            <w:pPr>
              <w:pStyle w:val="Compact"/>
              <w:jc w:val="left"/>
            </w:pPr>
            <w:r>
              <w:t xml:space="preserve">—</w:t>
            </w:r>
          </w:p>
        </w:tc>
        <w:tc>
          <w:tcPr/>
          <w:p>
            <w:pPr>
              <w:pStyle w:val="Compact"/>
            </w:pPr>
          </w:p>
        </w:tc>
      </w:tr>
    </w:tbl>
    <w:p>
      <w:pPr>
        <w:pStyle w:val="BodyText"/>
      </w:pPr>
      <w:r>
        <w:t xml:space="preserve">www.enyrgy.com · Facility: 5115 N 27th Ave, Bld 66, Phoenix, AZ 85017</w:t>
      </w:r>
    </w:p>
    <w:bookmarkEnd w:id="84"/>
    <w:bookmarkStart w:id="91" w:name="X2eb0bc4ebcb5446a412218d313bed2b732c6680"/>
    <w:p>
      <w:pPr>
        <w:pStyle w:val="Heading1"/>
      </w:pPr>
      <w:r>
        <w:t xml:space="preserve">SECTION 24: CONSUMER FUNNEL: ICP-DARTBOARD SYSTEM (NEW in v3.7)</w:t>
      </w:r>
    </w:p>
    <w:bookmarkStart w:id="85" w:name="the-model"/>
    <w:p>
      <w:pPr>
        <w:pStyle w:val="Heading2"/>
      </w:pPr>
      <w:r>
        <w:t xml:space="preserve">The Model</w:t>
      </w:r>
    </w:p>
    <w:p>
      <w:pPr>
        <w:pStyle w:val="FirstParagraph"/>
      </w:pPr>
      <w:r>
        <w:t xml:space="preserve">Consumer leads are segmented by Ideal Client Profile and routed to purpose-built lead magnets and email series, rather than into one general drip. Testing priority is weighted by ICP value.</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29"/>
        <w:tblLayout w:type="fixed"/>
        <w:tblLook w:firstRow="1" w:lastRow="0" w:firstColumn="0" w:lastColumn="0" w:noHBand="0" w:noVBand="0" w:val="0020"/>
      </w:tblPr>
      <w:tblGrid>
        <w:gridCol w:w="905"/>
        <w:gridCol w:w="2715"/>
        <w:gridCol w:w="848"/>
        <w:gridCol w:w="1470"/>
        <w:gridCol w:w="1866"/>
      </w:tblGrid>
      <w:tr>
        <w:trPr>
          <w:tblHeader w:val="on"/>
        </w:trPr>
        <w:tc>
          <w:tcPr/>
          <w:p>
            <w:pPr>
              <w:pStyle w:val="Compact"/>
              <w:jc w:val="left"/>
            </w:pPr>
            <w:r>
              <w:rPr>
                <w:b/>
                <w:bCs/>
              </w:rPr>
              <w:t xml:space="preserve">Ring</w:t>
            </w:r>
          </w:p>
        </w:tc>
        <w:tc>
          <w:tcPr/>
          <w:p>
            <w:pPr>
              <w:pStyle w:val="Compact"/>
              <w:jc w:val="left"/>
            </w:pPr>
            <w:r>
              <w:rPr>
                <w:b/>
                <w:bCs/>
              </w:rPr>
              <w:t xml:space="preserve">ICP</w:t>
            </w:r>
          </w:p>
        </w:tc>
        <w:tc>
          <w:tcPr/>
          <w:p>
            <w:pPr>
              <w:pStyle w:val="Compact"/>
              <w:jc w:val="left"/>
            </w:pPr>
            <w:r>
              <w:rPr>
                <w:b/>
                <w:bCs/>
              </w:rPr>
              <w:t xml:space="preserve">Weight</w:t>
            </w:r>
          </w:p>
        </w:tc>
        <w:tc>
          <w:tcPr/>
          <w:p>
            <w:pPr>
              <w:pStyle w:val="Compact"/>
              <w:jc w:val="left"/>
            </w:pPr>
            <w:r>
              <w:rPr>
                <w:b/>
                <w:bCs/>
              </w:rPr>
              <w:t xml:space="preserve">Magnet</w:t>
            </w:r>
          </w:p>
        </w:tc>
        <w:tc>
          <w:tcPr/>
          <w:p>
            <w:pPr>
              <w:pStyle w:val="Compact"/>
              <w:jc w:val="left"/>
            </w:pPr>
            <w:r>
              <w:rPr>
                <w:b/>
                <w:bCs/>
              </w:rPr>
              <w:t xml:space="preserve">Format</w:t>
            </w:r>
          </w:p>
        </w:tc>
      </w:tr>
      <w:tr>
        <w:tc>
          <w:tcPr/>
          <w:p>
            <w:pPr>
              <w:pStyle w:val="Compact"/>
              <w:jc w:val="left"/>
            </w:pPr>
            <w:r>
              <w:t xml:space="preserve">Bullseye</w:t>
            </w:r>
          </w:p>
        </w:tc>
        <w:tc>
          <w:tcPr/>
          <w:p>
            <w:pPr>
              <w:pStyle w:val="Compact"/>
              <w:jc w:val="left"/>
            </w:pPr>
            <w:r>
              <w:t xml:space="preserve">Stack Optimizer (skeptical, supplement-savvy)</w:t>
            </w:r>
          </w:p>
        </w:tc>
        <w:tc>
          <w:tcPr/>
          <w:p>
            <w:pPr>
              <w:pStyle w:val="Compact"/>
              <w:jc w:val="left"/>
            </w:pPr>
            <w:r>
              <w:t xml:space="preserve">60%</w:t>
            </w:r>
          </w:p>
        </w:tc>
        <w:tc>
          <w:tcPr/>
          <w:p>
            <w:pPr>
              <w:pStyle w:val="Compact"/>
              <w:jc w:val="left"/>
            </w:pPr>
            <w:r>
              <w:t xml:space="preserve">Synthesis Gap Guide</w:t>
            </w:r>
          </w:p>
        </w:tc>
        <w:tc>
          <w:tcPr/>
          <w:p>
            <w:pPr>
              <w:pStyle w:val="Compact"/>
              <w:jc w:val="left"/>
            </w:pPr>
            <w:r>
              <w:t xml:space="preserve">PDF, evidence-forward</w:t>
            </w:r>
          </w:p>
        </w:tc>
      </w:tr>
      <w:tr>
        <w:tc>
          <w:tcPr/>
          <w:p>
            <w:pPr>
              <w:pStyle w:val="Compact"/>
              <w:jc w:val="left"/>
            </w:pPr>
            <w:r>
              <w:t xml:space="preserve">Inner Ring</w:t>
            </w:r>
          </w:p>
        </w:tc>
        <w:tc>
          <w:tcPr/>
          <w:p>
            <w:pPr>
              <w:pStyle w:val="Compact"/>
              <w:jc w:val="left"/>
            </w:pPr>
            <w:r>
              <w:t xml:space="preserve">Performance Athlete</w:t>
            </w:r>
          </w:p>
        </w:tc>
        <w:tc>
          <w:tcPr/>
          <w:p>
            <w:pPr>
              <w:pStyle w:val="Compact"/>
              <w:jc w:val="left"/>
            </w:pPr>
            <w:r>
              <w:t xml:space="preserve">35%</w:t>
            </w:r>
          </w:p>
        </w:tc>
        <w:tc>
          <w:tcPr/>
          <w:p>
            <w:pPr>
              <w:pStyle w:val="Compact"/>
              <w:jc w:val="left"/>
            </w:pPr>
            <w:r>
              <w:t xml:space="preserve">Recovery Protocol Guide</w:t>
            </w:r>
          </w:p>
        </w:tc>
        <w:tc>
          <w:tcPr/>
          <w:p>
            <w:pPr>
              <w:pStyle w:val="Compact"/>
              <w:jc w:val="left"/>
            </w:pPr>
            <w:r>
              <w:t xml:space="preserve">PDF, evidence-forward</w:t>
            </w:r>
          </w:p>
        </w:tc>
      </w:tr>
      <w:tr>
        <w:tc>
          <w:tcPr/>
          <w:p>
            <w:pPr>
              <w:pStyle w:val="Compact"/>
              <w:jc w:val="left"/>
            </w:pPr>
            <w:r>
              <w:t xml:space="preserve">Inner Ring</w:t>
            </w:r>
          </w:p>
        </w:tc>
        <w:tc>
          <w:tcPr/>
          <w:p>
            <w:pPr>
              <w:pStyle w:val="Compact"/>
              <w:jc w:val="left"/>
            </w:pPr>
            <w:r>
              <w:t xml:space="preserve">SAD Sufferer (seasonal Aug-Oct) s</w:t>
            </w:r>
          </w:p>
        </w:tc>
        <w:tc>
          <w:tcPr/>
          <w:p>
            <w:pPr>
              <w:pStyle w:val="Compact"/>
              <w:jc w:val="left"/>
            </w:pPr>
            <w:r>
              <w:t xml:space="preserve">easonal W</w:t>
            </w:r>
          </w:p>
        </w:tc>
        <w:tc>
          <w:tcPr/>
          <w:p>
            <w:pPr>
              <w:pStyle w:val="Compact"/>
              <w:jc w:val="left"/>
            </w:pPr>
            <w:r>
              <w:t xml:space="preserve">inter Protocol Guide P</w:t>
            </w:r>
          </w:p>
        </w:tc>
        <w:tc>
          <w:tcPr/>
          <w:p>
            <w:pPr>
              <w:pStyle w:val="Compact"/>
              <w:jc w:val="left"/>
            </w:pPr>
            <w:r>
              <w:t xml:space="preserve">DF, validation-first</w:t>
            </w:r>
          </w:p>
        </w:tc>
      </w:tr>
      <w:tr>
        <w:tc>
          <w:tcPr/>
          <w:p>
            <w:pPr>
              <w:pStyle w:val="Compact"/>
              <w:jc w:val="left"/>
            </w:pPr>
            <w:r>
              <w:t xml:space="preserve">Outer Ring</w:t>
            </w:r>
          </w:p>
        </w:tc>
        <w:tc>
          <w:tcPr/>
          <w:p>
            <w:pPr>
              <w:pStyle w:val="Compact"/>
              <w:jc w:val="left"/>
            </w:pPr>
            <w:r>
              <w:t xml:space="preserve">Energy/Sleep Seeker (Problem-Aware)</w:t>
            </w:r>
          </w:p>
        </w:tc>
        <w:tc>
          <w:tcPr/>
          <w:p>
            <w:pPr>
              <w:pStyle w:val="Compact"/>
              <w:jc w:val="left"/>
            </w:pPr>
            <w:r>
              <w:t xml:space="preserve">5%</w:t>
            </w:r>
          </w:p>
        </w:tc>
        <w:tc>
          <w:tcPr/>
          <w:p>
            <w:pPr>
              <w:pStyle w:val="Compact"/>
              <w:jc w:val="left"/>
            </w:pPr>
            <w:r>
              <w:t xml:space="preserve">Tired Test</w:t>
            </w:r>
          </w:p>
        </w:tc>
        <w:tc>
          <w:tcPr/>
          <w:p>
            <w:pPr>
              <w:pStyle w:val="Compact"/>
              <w:jc w:val="left"/>
            </w:pPr>
            <w:r>
              <w:t xml:space="preserve">Interactive QUIZ (not a guide)</w:t>
            </w:r>
          </w:p>
        </w:tc>
      </w:tr>
      <w:tr>
        <w:tc>
          <w:tcPr/>
          <w:p>
            <w:pPr>
              <w:pStyle w:val="Compact"/>
              <w:jc w:val="left"/>
            </w:pPr>
            <w:r>
              <w:t xml:space="preserve">Everyone else</w:t>
            </w:r>
          </w:p>
        </w:tc>
        <w:tc>
          <w:tcPr/>
          <w:p>
            <w:pPr>
              <w:pStyle w:val="Compact"/>
              <w:jc w:val="left"/>
            </w:pPr>
            <w:r>
              <w:t xml:space="preserve">general contact-form leads ,</w:t>
            </w:r>
          </w:p>
        </w:tc>
        <w:tc>
          <w:tcPr/>
          <w:p>
            <w:pPr>
              <w:pStyle w:val="Compact"/>
              <w:jc w:val="left"/>
            </w:pPr>
            <w:r>
              <w:t xml:space="preserve">,</w:t>
            </w:r>
          </w:p>
        </w:tc>
        <w:tc>
          <w:tcPr/>
          <w:p>
            <w:pPr>
              <w:pStyle w:val="Compact"/>
              <w:jc w:val="left"/>
            </w:pPr>
            <w:r>
              <w:t xml:space="preserve">Consum</w:t>
            </w:r>
          </w:p>
        </w:tc>
        <w:tc>
          <w:tcPr/>
          <w:p>
            <w:pPr>
              <w:pStyle w:val="Compact"/>
              <w:jc w:val="left"/>
            </w:pPr>
            <w:r>
              <w:t xml:space="preserve">er Drip</w:t>
            </w:r>
          </w:p>
        </w:tc>
      </w:tr>
    </w:tbl>
    <w:p>
      <w:pPr>
        <w:pStyle w:val="BodyText"/>
      </w:pPr>
      <w:r>
        <w:t xml:space="preserve">Bullseye and Athlete get full A/B testing. Energy/Sleep gets one strong version. Winter is seasonal. The Tired Test is deliberately a quiz, not a guide, the Problem-Aware tired buyer will not open another PDF.</w:t>
      </w:r>
    </w:p>
    <w:bookmarkEnd w:id="85"/>
    <w:bookmarkStart w:id="86" w:name="end-to-end-routing"/>
    <w:p>
      <w:pPr>
        <w:pStyle w:val="Heading2"/>
      </w:pPr>
      <w:r>
        <w:t xml:space="preserve">End-to-End Routing</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12"/>
        <w:tblLayout w:type="fixed"/>
        <w:tblLook w:firstRow="1" w:lastRow="0" w:firstColumn="0" w:lastColumn="0" w:noHBand="0" w:noVBand="0" w:val="0020"/>
      </w:tblPr>
      <w:tblGrid>
        <w:gridCol w:w="1875"/>
        <w:gridCol w:w="2362"/>
        <w:gridCol w:w="1181"/>
        <w:gridCol w:w="1181"/>
        <w:gridCol w:w="1181"/>
      </w:tblGrid>
      <w:tr>
        <w:trPr>
          <w:tblHeader w:val="on"/>
        </w:trPr>
        <w:tc>
          <w:tcPr/>
          <w:p>
            <w:pPr>
              <w:pStyle w:val="Compact"/>
              <w:jc w:val="left"/>
            </w:pPr>
            <w:r>
              <w:rPr>
                <w:b/>
                <w:bCs/>
              </w:rPr>
              <w:t xml:space="preserve">Ring</w:t>
            </w:r>
          </w:p>
        </w:tc>
        <w:tc>
          <w:tcPr/>
          <w:p>
            <w:pPr>
              <w:pStyle w:val="Compact"/>
              <w:jc w:val="left"/>
            </w:pPr>
            <w:r>
              <w:rPr>
                <w:b/>
                <w:bCs/>
              </w:rPr>
              <w:t xml:space="preserve">Entry</w:t>
            </w:r>
          </w:p>
        </w:tc>
        <w:tc>
          <w:tcPr/>
          <w:p>
            <w:pPr>
              <w:pStyle w:val="Compact"/>
              <w:jc w:val="left"/>
            </w:pPr>
            <w:r>
              <w:rPr>
                <w:b/>
                <w:bCs/>
              </w:rPr>
              <w:t xml:space="preserve">Capture WF</w:t>
            </w:r>
          </w:p>
        </w:tc>
        <w:tc>
          <w:tcPr/>
          <w:p>
            <w:pPr>
              <w:pStyle w:val="Compact"/>
              <w:jc w:val="left"/>
            </w:pPr>
            <w:r>
              <w:rPr>
                <w:b/>
                <w:bCs/>
              </w:rPr>
              <w:t xml:space="preserve">Nurture WF</w:t>
            </w:r>
          </w:p>
        </w:tc>
        <w:tc>
          <w:tcPr/>
          <w:p>
            <w:pPr>
              <w:pStyle w:val="Compact"/>
              <w:jc w:val="left"/>
            </w:pPr>
            <w:r>
              <w:rPr>
                <w:b/>
                <w:bCs/>
              </w:rPr>
              <w:t xml:space="preserve">Long-term</w:t>
            </w:r>
          </w:p>
        </w:tc>
      </w:tr>
      <w:tr>
        <w:tc>
          <w:tcPr/>
          <w:p>
            <w:pPr>
              <w:pStyle w:val="Compact"/>
              <w:jc w:val="left"/>
            </w:pPr>
            <w:r>
              <w:t xml:space="preserve">Bullseye (Synthesis Gap)</w:t>
            </w:r>
          </w:p>
        </w:tc>
        <w:tc>
          <w:tcPr/>
          <w:p>
            <w:pPr>
              <w:pStyle w:val="Compact"/>
              <w:jc w:val="left"/>
            </w:pPr>
            <w:r>
              <w:t xml:space="preserve">go.enyrgy.com/synthesis-gap</w:t>
            </w:r>
          </w:p>
        </w:tc>
        <w:tc>
          <w:tcPr/>
          <w:p>
            <w:pPr>
              <w:pStyle w:val="Compact"/>
              <w:jc w:val="left"/>
            </w:pPr>
            <w:r>
              <w:t xml:space="preserve">WF-15</w:t>
            </w:r>
          </w:p>
        </w:tc>
        <w:tc>
          <w:tcPr/>
          <w:p>
            <w:pPr>
              <w:pStyle w:val="Compact"/>
              <w:jc w:val="left"/>
            </w:pPr>
            <w:r>
              <w:t xml:space="preserve">WF-16 (A/B)</w:t>
            </w:r>
          </w:p>
        </w:tc>
        <w:tc>
          <w:tcPr/>
          <w:p>
            <w:pPr>
              <w:pStyle w:val="Compact"/>
              <w:jc w:val="left"/>
            </w:pPr>
            <w:r>
              <w:t xml:space="preserve">WF-17</w:t>
            </w:r>
          </w:p>
        </w:tc>
      </w:tr>
      <w:tr>
        <w:tc>
          <w:tcPr/>
          <w:p>
            <w:pPr>
              <w:pStyle w:val="Compact"/>
              <w:jc w:val="left"/>
            </w:pPr>
            <w:r>
              <w:t xml:space="preserve">Inner Ring (Recovery)</w:t>
            </w:r>
          </w:p>
        </w:tc>
        <w:tc>
          <w:tcPr/>
          <w:p>
            <w:pPr>
              <w:pStyle w:val="Compact"/>
              <w:jc w:val="left"/>
            </w:pPr>
            <w:r>
              <w:t xml:space="preserve">go.enyrgy.com/recovery-protocol</w:t>
            </w:r>
          </w:p>
        </w:tc>
        <w:tc>
          <w:tcPr/>
          <w:p>
            <w:pPr>
              <w:pStyle w:val="Compact"/>
              <w:jc w:val="left"/>
            </w:pPr>
            <w:r>
              <w:t xml:space="preserve">WF-18</w:t>
            </w:r>
          </w:p>
        </w:tc>
        <w:tc>
          <w:tcPr/>
          <w:p>
            <w:pPr>
              <w:pStyle w:val="Compact"/>
              <w:jc w:val="left"/>
            </w:pPr>
            <w:r>
              <w:t xml:space="preserve">WF-14 (A/B)</w:t>
            </w:r>
          </w:p>
        </w:tc>
        <w:tc>
          <w:tcPr/>
          <w:p>
            <w:pPr>
              <w:pStyle w:val="Compact"/>
              <w:jc w:val="left"/>
            </w:pPr>
            <w:r>
              <w:t xml:space="preserve">WF-17</w:t>
            </w:r>
          </w:p>
        </w:tc>
      </w:tr>
      <w:tr>
        <w:tc>
          <w:tcPr/>
          <w:p>
            <w:pPr>
              <w:pStyle w:val="Compact"/>
              <w:jc w:val="left"/>
            </w:pPr>
            <w:r>
              <w:t xml:space="preserve">Inner Ring (Winter)</w:t>
            </w:r>
          </w:p>
        </w:tc>
        <w:tc>
          <w:tcPr/>
          <w:p>
            <w:pPr>
              <w:pStyle w:val="Compact"/>
              <w:jc w:val="left"/>
            </w:pPr>
            <w:r>
              <w:t xml:space="preserve">go.enyrgy.com/winter-protocol</w:t>
            </w:r>
          </w:p>
        </w:tc>
        <w:tc>
          <w:tcPr/>
          <w:p>
            <w:pPr>
              <w:pStyle w:val="Compact"/>
              <w:jc w:val="left"/>
            </w:pPr>
            <w:r>
              <w:t xml:space="preserve">WF-19</w:t>
            </w:r>
          </w:p>
        </w:tc>
        <w:tc>
          <w:tcPr/>
          <w:p>
            <w:pPr>
              <w:pStyle w:val="Compact"/>
              <w:jc w:val="left"/>
            </w:pPr>
            <w:r>
              <w:t xml:space="preserve">WF-20 (3A/3B)</w:t>
            </w:r>
          </w:p>
        </w:tc>
        <w:tc>
          <w:tcPr/>
          <w:p>
            <w:pPr>
              <w:pStyle w:val="Compact"/>
              <w:jc w:val="left"/>
            </w:pPr>
            <w:r>
              <w:t xml:space="preserve">WF-17</w:t>
            </w:r>
          </w:p>
        </w:tc>
      </w:tr>
      <w:tr>
        <w:tc>
          <w:tcPr/>
          <w:p>
            <w:pPr>
              <w:pStyle w:val="Compact"/>
              <w:jc w:val="left"/>
            </w:pPr>
            <w:r>
              <w:t xml:space="preserve">Outer Ring (Tired Test)</w:t>
            </w:r>
          </w:p>
        </w:tc>
        <w:tc>
          <w:tcPr/>
          <w:p>
            <w:pPr>
              <w:pStyle w:val="Compact"/>
              <w:jc w:val="left"/>
            </w:pPr>
            <w:r>
              <w:t xml:space="preserve">go.enyrgy.com/tired-test</w:t>
            </w:r>
          </w:p>
        </w:tc>
        <w:tc>
          <w:tcPr/>
          <w:p>
            <w:pPr>
              <w:pStyle w:val="Compact"/>
              <w:jc w:val="left"/>
            </w:pPr>
            <w:r>
              <w:t xml:space="preserve">WF-12</w:t>
            </w:r>
          </w:p>
        </w:tc>
        <w:tc>
          <w:tcPr/>
          <w:p>
            <w:pPr>
              <w:pStyle w:val="Compact"/>
              <w:jc w:val="left"/>
            </w:pPr>
            <w:r>
              <w:t xml:space="preserve">WF-13</w:t>
            </w:r>
          </w:p>
        </w:tc>
        <w:tc>
          <w:tcPr/>
          <w:p>
            <w:pPr>
              <w:pStyle w:val="Compact"/>
              <w:jc w:val="left"/>
            </w:pPr>
            <w:r>
              <w:t xml:space="preserve">WF-17</w:t>
            </w:r>
          </w:p>
        </w:tc>
      </w:tr>
      <w:tr>
        <w:tc>
          <w:tcPr/>
          <w:p>
            <w:pPr>
              <w:pStyle w:val="Compact"/>
              <w:jc w:val="left"/>
            </w:pPr>
            <w:r>
              <w:t xml:space="preserve">Everyone else</w:t>
            </w:r>
          </w:p>
        </w:tc>
        <w:tc>
          <w:tcPr/>
          <w:p>
            <w:pPr>
              <w:pStyle w:val="Compact"/>
              <w:jc w:val="left"/>
            </w:pPr>
            <w:r>
              <w:t xml:space="preserve">contact form</w:t>
            </w:r>
          </w:p>
        </w:tc>
        <w:tc>
          <w:tcPr/>
          <w:p>
            <w:pPr>
              <w:pStyle w:val="Compact"/>
              <w:jc w:val="left"/>
            </w:pPr>
            <w:r>
              <w:t xml:space="preserve">WF-11/WF-01</w:t>
            </w:r>
          </w:p>
        </w:tc>
        <w:tc>
          <w:tcPr/>
          <w:p>
            <w:pPr>
              <w:pStyle w:val="Compact"/>
              <w:jc w:val="left"/>
            </w:pPr>
            <w:r>
              <w:t xml:space="preserve">(none) C</w:t>
            </w:r>
          </w:p>
        </w:tc>
        <w:tc>
          <w:tcPr/>
          <w:p>
            <w:pPr>
              <w:pStyle w:val="Compact"/>
              <w:jc w:val="left"/>
            </w:pPr>
            <w:r>
              <w:t xml:space="preserve">onsumer Drip</w:t>
            </w:r>
          </w:p>
        </w:tc>
      </w:tr>
    </w:tbl>
    <w:p>
      <w:pPr>
        <w:pStyle w:val="BodyText"/>
      </w:pPr>
      <w:r>
        <w:t xml:space="preserve">All magnet leads converge into WF-17 Long-Term Nurture after their magnet series.</w:t>
      </w:r>
    </w:p>
    <w:bookmarkEnd w:id="86"/>
    <w:bookmarkStart w:id="87" w:name="the-suppression-system-drip_bypass"/>
    <w:p>
      <w:pPr>
        <w:pStyle w:val="Heading2"/>
      </w:pPr>
      <w:r>
        <w:t xml:space="preserve">The Suppression System (drip_bypass)</w:t>
      </w:r>
    </w:p>
    <w:p>
      <w:pPr>
        <w:pStyle w:val="FirstParagraph"/>
      </w:pPr>
      <w:r>
        <w:rPr>
          <w:b/>
          <w:bCs/>
        </w:rPr>
        <w:t xml:space="preserve">Problem:</w:t>
      </w:r>
      <w:r>
        <w:t xml:space="preserve"> </w:t>
      </w:r>
      <w:r>
        <w:t xml:space="preserve">the original architecture routed ALL consumer leads into the Consumer Drip via type_consumer. When magnet funnels were added, magnet leads carried type_consumer AND got their series, so they received both, including off-brand general-drip emails. That is the collision.</w:t>
      </w:r>
    </w:p>
    <w:p>
      <w:pPr>
        <w:pStyle w:val="BodyText"/>
      </w:pPr>
      <w:r>
        <w:rPr>
          <w:b/>
          <w:bCs/>
        </w:rPr>
        <w:t xml:space="preserve">Fix:</w:t>
      </w:r>
      <w:r>
        <w:t xml:space="preserve"> </w:t>
      </w:r>
      <w:r>
        <w:t xml:space="preserve">two tags applied at capture gate the general automation:</w:t>
      </w:r>
    </w:p>
    <w:p>
      <w:pPr>
        <w:numPr>
          <w:ilvl w:val="0"/>
          <w:numId w:val="1016"/>
        </w:numPr>
      </w:pPr>
      <w:r>
        <w:t xml:space="preserve">magnet_lead, marks a lead-magnet entrant (suppression marker).</w:t>
      </w:r>
    </w:p>
    <w:p>
      <w:pPr>
        <w:numPr>
          <w:ilvl w:val="0"/>
          <w:numId w:val="1016"/>
        </w:numPr>
      </w:pPr>
      <w:r>
        <w:t xml:space="preserve">drip_bypass, universal</w:t>
      </w:r>
      <w:r>
        <w:t xml:space="preserve"> </w:t>
      </w:r>
      <w:r>
        <w:t xml:space="preserve">“handled by a more specific path; skip general automation”</w:t>
      </w:r>
      <w:r>
        <w:t xml:space="preserve"> </w:t>
      </w:r>
      <w:r>
        <w:t xml:space="preserve">signal.</w:t>
      </w:r>
    </w:p>
    <w:p>
      <w:pPr>
        <w:pStyle w:val="FirstParagraph"/>
      </w:pPr>
      <w:r>
        <w:rPr>
          <w:b/>
          <w:bCs/>
        </w:rPr>
        <w:t xml:space="preserve">Where the gate is wired:</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13"/>
        <w:tblLayout w:type="fixed"/>
        <w:tblLook w:firstRow="1" w:lastRow="0" w:firstColumn="0" w:lastColumn="0" w:noHBand="0" w:noVBand="0" w:val="0020"/>
      </w:tblPr>
      <w:tblGrid>
        <w:gridCol w:w="2479"/>
        <w:gridCol w:w="5302"/>
      </w:tblGrid>
      <w:tr>
        <w:trPr>
          <w:tblHeader w:val="on"/>
        </w:trPr>
        <w:tc>
          <w:tcPr/>
          <w:p>
            <w:pPr>
              <w:pStyle w:val="Compact"/>
              <w:jc w:val="left"/>
            </w:pPr>
            <w:r>
              <w:rPr>
                <w:b/>
                <w:bCs/>
              </w:rPr>
              <w:t xml:space="preserve">Workflow</w:t>
            </w:r>
          </w:p>
        </w:tc>
        <w:tc>
          <w:tcPr/>
          <w:p>
            <w:pPr>
              <w:pStyle w:val="Compact"/>
              <w:jc w:val="left"/>
            </w:pPr>
            <w:r>
              <w:rPr>
                <w:b/>
                <w:bCs/>
              </w:rPr>
              <w:t xml:space="preserve">Gate</w:t>
            </w:r>
          </w:p>
        </w:tc>
      </w:tr>
      <w:tr>
        <w:tc>
          <w:tcPr/>
          <w:p>
            <w:pPr>
              <w:pStyle w:val="Compact"/>
              <w:jc w:val="left"/>
            </w:pPr>
            <w:r>
              <w:t xml:space="preserve">Consumer Drip (12-touch)</w:t>
            </w:r>
          </w:p>
        </w:tc>
        <w:tc>
          <w:tcPr/>
          <w:p>
            <w:pPr>
              <w:pStyle w:val="Compact"/>
              <w:jc w:val="left"/>
            </w:pPr>
            <w:r>
              <w:t xml:space="preserve">First-step If/Else: NOT drip_bypass -&gt; run; else END</w:t>
            </w:r>
          </w:p>
        </w:tc>
      </w:tr>
      <w:tr>
        <w:tc>
          <w:tcPr/>
          <w:p>
            <w:pPr>
              <w:pStyle w:val="Compact"/>
              <w:jc w:val="left"/>
            </w:pPr>
            <w:r>
              <w:t xml:space="preserve">WF-02 5-Minute SMS</w:t>
            </w:r>
          </w:p>
        </w:tc>
        <w:tc>
          <w:tcPr/>
          <w:p>
            <w:pPr>
              <w:pStyle w:val="Compact"/>
              <w:jc w:val="left"/>
            </w:pPr>
            <w:r>
              <w:t xml:space="preserve">If/Else: NOT drip_bypass -&gt; send; else END</w:t>
            </w:r>
          </w:p>
        </w:tc>
      </w:tr>
      <w:tr>
        <w:tc>
          <w:tcPr/>
          <w:p>
            <w:pPr>
              <w:pStyle w:val="Compact"/>
              <w:jc w:val="left"/>
            </w:pPr>
            <w:r>
              <w:t xml:space="preserve">WF-04 Stale Lead Sentinel</w:t>
            </w:r>
          </w:p>
        </w:tc>
        <w:tc>
          <w:tcPr/>
          <w:p>
            <w:pPr>
              <w:pStyle w:val="Compact"/>
              <w:jc w:val="left"/>
            </w:pPr>
            <w:r>
              <w:t xml:space="preserve">“Stale Lead”</w:t>
            </w:r>
            <w:r>
              <w:t xml:space="preserve"> </w:t>
            </w:r>
            <w:r>
              <w:t xml:space="preserve">branch: status_in_drip AND NOT drip_bypass</w:t>
            </w:r>
          </w:p>
        </w:tc>
      </w:tr>
      <w:tr>
        <w:tc>
          <w:tcPr/>
          <w:p>
            <w:pPr>
              <w:pStyle w:val="Compact"/>
              <w:jc w:val="left"/>
            </w:pPr>
            <w:r>
              <w:t xml:space="preserve">WF-12 / WF-15 / WF-18</w:t>
            </w:r>
          </w:p>
        </w:tc>
        <w:tc>
          <w:tcPr/>
          <w:p>
            <w:pPr>
              <w:pStyle w:val="Compact"/>
              <w:jc w:val="left"/>
            </w:pPr>
            <w:r>
              <w:t xml:space="preserve">Apply magnet_lead + drip_bypass with type_consumer in same Add-Tags action</w:t>
            </w:r>
          </w:p>
        </w:tc>
      </w:tr>
    </w:tbl>
    <w:p>
      <w:pPr>
        <w:pStyle w:val="BodyText"/>
      </w:pPr>
      <w:r>
        <w:t xml:space="preserve">In-workflow If/Else is used because GHL trigger filters do not offer</w:t>
      </w:r>
      <w:r>
        <w:t xml:space="preserve"> </w:t>
      </w:r>
      <w:r>
        <w:t xml:space="preserve">“does not have tag.”</w:t>
      </w:r>
      <w:r>
        <w:t xml:space="preserve"> </w:t>
      </w:r>
      <w:r>
        <w:t xml:space="preserve">Capture workflows must apply drip_bypass in the same action as type_consumer so the tags land together.</w:t>
      </w:r>
    </w:p>
    <w:bookmarkEnd w:id="87"/>
    <w:bookmarkStart w:id="88" w:name="the-magnets"/>
    <w:p>
      <w:pPr>
        <w:pStyle w:val="Heading2"/>
      </w:pPr>
      <w:r>
        <w:t xml:space="preserve">The Magnets</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954"/>
        <w:tblLayout w:type="fixed"/>
        <w:tblLook w:firstRow="1" w:lastRow="0" w:firstColumn="0" w:lastColumn="0" w:noHBand="0" w:noVBand="0" w:val="0020"/>
      </w:tblPr>
      <w:tblGrid>
        <w:gridCol w:w="953"/>
        <w:gridCol w:w="660"/>
        <w:gridCol w:w="1320"/>
        <w:gridCol w:w="4913"/>
      </w:tblGrid>
      <w:tr>
        <w:trPr>
          <w:tblHeader w:val="on"/>
        </w:trPr>
        <w:tc>
          <w:tcPr/>
          <w:p>
            <w:pPr>
              <w:pStyle w:val="Compact"/>
              <w:jc w:val="left"/>
            </w:pPr>
            <w:r>
              <w:rPr>
                <w:b/>
                <w:bCs/>
              </w:rPr>
              <w:t xml:space="preserve">Magnet</w:t>
            </w:r>
          </w:p>
        </w:tc>
        <w:tc>
          <w:tcPr/>
          <w:p>
            <w:pPr>
              <w:pStyle w:val="Compact"/>
              <w:jc w:val="left"/>
            </w:pPr>
            <w:r>
              <w:rPr>
                <w:b/>
                <w:bCs/>
              </w:rPr>
              <w:t xml:space="preserve">ICP</w:t>
            </w:r>
          </w:p>
        </w:tc>
        <w:tc>
          <w:tcPr/>
          <w:p>
            <w:pPr>
              <w:pStyle w:val="Compact"/>
              <w:jc w:val="left"/>
            </w:pPr>
            <w:r>
              <w:rPr>
                <w:b/>
                <w:bCs/>
              </w:rPr>
              <w:t xml:space="preserve">Skills</w:t>
            </w:r>
          </w:p>
        </w:tc>
        <w:tc>
          <w:tcPr/>
          <w:p>
            <w:pPr>
              <w:pStyle w:val="Compact"/>
              <w:jc w:val="left"/>
            </w:pPr>
            <w:r>
              <w:rPr>
                <w:b/>
                <w:bCs/>
              </w:rPr>
              <w:t xml:space="preserve">Notes</w:t>
            </w:r>
          </w:p>
        </w:tc>
      </w:tr>
      <w:tr>
        <w:tc>
          <w:tcPr/>
          <w:p>
            <w:pPr>
              <w:pStyle w:val="Compact"/>
              <w:jc w:val="left"/>
            </w:pPr>
            <w:r>
              <w:t xml:space="preserve">Synthesis Gap Guide</w:t>
            </w:r>
          </w:p>
        </w:tc>
        <w:tc>
          <w:tcPr/>
          <w:p>
            <w:pPr>
              <w:pStyle w:val="Compact"/>
              <w:jc w:val="left"/>
            </w:pPr>
            <w:r>
              <w:t xml:space="preserve">Stack Optimizer</w:t>
            </w:r>
          </w:p>
        </w:tc>
        <w:tc>
          <w:tcPr/>
          <w:p>
            <w:pPr>
              <w:pStyle w:val="Compact"/>
              <w:jc w:val="left"/>
            </w:pPr>
            <w:r>
              <w:t xml:space="preserve">cub + humanize + eugene</w:t>
            </w:r>
          </w:p>
        </w:tc>
        <w:tc>
          <w:tcPr/>
          <w:p>
            <w:pPr>
              <w:pStyle w:val="Compact"/>
              <w:jc w:val="left"/>
            </w:pPr>
            <w:r>
              <w:t xml:space="preserve">“Supplements raise a number. Sunlight runs a process.”</w:t>
            </w:r>
            <w:r>
              <w:t xml:space="preserve"> </w:t>
            </w:r>
            <w:r>
              <w:t xml:space="preserve">Cascade signature: D3-&gt;sulfate-&gt;photoproducts-&gt;(gap: nitric oxide-&gt;serotonin).</w:t>
            </w:r>
          </w:p>
        </w:tc>
      </w:tr>
      <w:tr>
        <w:tc>
          <w:tcPr/>
          <w:p>
            <w:pPr>
              <w:pStyle w:val="Compact"/>
              <w:jc w:val="left"/>
            </w:pPr>
            <w:r>
              <w:t xml:space="preserve">Recovery Protocol Guide</w:t>
            </w:r>
          </w:p>
        </w:tc>
        <w:tc>
          <w:tcPr/>
          <w:p>
            <w:pPr>
              <w:pStyle w:val="Compact"/>
              <w:jc w:val="left"/>
            </w:pPr>
            <w:r>
              <w:t xml:space="preserve">Athlete</w:t>
            </w:r>
          </w:p>
        </w:tc>
        <w:tc>
          <w:tcPr/>
          <w:p>
            <w:pPr>
              <w:pStyle w:val="Compact"/>
              <w:jc w:val="left"/>
            </w:pPr>
            <w:r>
              <w:t xml:space="preserve">cub + humanize + eugene</w:t>
            </w:r>
          </w:p>
        </w:tc>
        <w:tc>
          <w:tcPr/>
          <w:p>
            <w:pPr>
              <w:pStyle w:val="Compact"/>
              <w:jc w:val="left"/>
            </w:pPr>
            <w:r>
              <w:t xml:space="preserve">Bone/injury differentiator; Bogh 2012 trial; stat boxes 14%/11%/50 ng/mL.</w:t>
            </w:r>
          </w:p>
        </w:tc>
      </w:tr>
      <w:tr>
        <w:tc>
          <w:tcPr/>
          <w:p>
            <w:pPr>
              <w:pStyle w:val="Compact"/>
              <w:jc w:val="left"/>
            </w:pPr>
            <w:r>
              <w:t xml:space="preserve">Winter Protocol Guide</w:t>
            </w:r>
          </w:p>
        </w:tc>
        <w:tc>
          <w:tcPr/>
          <w:p>
            <w:pPr>
              <w:pStyle w:val="Compact"/>
              <w:jc w:val="left"/>
            </w:pPr>
            <w:r>
              <w:t xml:space="preserve">SAD</w:t>
            </w:r>
          </w:p>
        </w:tc>
        <w:tc>
          <w:tcPr/>
          <w:p>
            <w:pPr>
              <w:pStyle w:val="Compact"/>
              <w:jc w:val="left"/>
            </w:pPr>
            <w:r>
              <w:t xml:space="preserve">cub + humanize + presell-sandwich</w:t>
            </w:r>
          </w:p>
        </w:tc>
        <w:tc>
          <w:tcPr/>
          <w:p>
            <w:pPr>
              <w:pStyle w:val="Compact"/>
              <w:jc w:val="left"/>
            </w:pPr>
            <w:r>
              <w:t xml:space="preserve">Validation-first; hard clinical-depression disclaimer; cohort =</w:t>
            </w:r>
            <w:r>
              <w:t xml:space="preserve"> </w:t>
            </w:r>
            <w:r>
              <w:t xml:space="preserve">“a lab measure, not a mood measure.”</w:t>
            </w:r>
          </w:p>
        </w:tc>
      </w:tr>
      <w:tr>
        <w:tc>
          <w:tcPr/>
          <w:p>
            <w:pPr>
              <w:pStyle w:val="Compact"/>
              <w:jc w:val="left"/>
            </w:pPr>
            <w:r>
              <w:t xml:space="preserve">Tired Test</w:t>
            </w:r>
          </w:p>
        </w:tc>
        <w:tc>
          <w:tcPr/>
          <w:p>
            <w:pPr>
              <w:pStyle w:val="Compact"/>
              <w:jc w:val="left"/>
            </w:pPr>
            <w:r>
              <w:t xml:space="preserve">Energy/Sleep</w:t>
            </w:r>
          </w:p>
        </w:tc>
        <w:tc>
          <w:tcPr/>
          <w:p>
            <w:pPr>
              <w:pStyle w:val="Compact"/>
              <w:jc w:val="left"/>
            </w:pPr>
            <w:r>
              <w:t xml:space="preserve">cub + presell + humanize</w:t>
            </w:r>
          </w:p>
        </w:tc>
        <w:tc>
          <w:tcPr/>
          <w:p>
            <w:pPr>
              <w:pStyle w:val="Compact"/>
              <w:jc w:val="left"/>
            </w:pPr>
            <w:r>
              <w:t xml:space="preserve">Interactive quiz; no PDF.</w:t>
            </w:r>
          </w:p>
        </w:tc>
      </w:tr>
    </w:tbl>
    <w:p>
      <w:pPr>
        <w:pStyle w:val="BodyText"/>
      </w:pPr>
      <w:r>
        <w:t xml:space="preserve">Hosted PDFs (assets.cdn.filesafe.space/GtXjla7Ld1dordsTWrVy/media/): Synthesis Gap 6a3eb5fae2763b2eec13afcc.pdf · Recovery 6a3fd90fc408020f97c82b7f.pdf · Winter 6a3f1a46163e40d8627248b1.pdf.</w:t>
      </w:r>
    </w:p>
    <w:bookmarkEnd w:id="88"/>
    <w:bookmarkStart w:id="89" w:name="email-series"/>
    <w:p>
      <w:pPr>
        <w:pStyle w:val="Heading2"/>
      </w:pPr>
      <w:r>
        <w:t xml:space="preserve">Email Series</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4885"/>
        <w:tblLayout w:type="fixed"/>
        <w:tblLook w:firstRow="1" w:lastRow="0" w:firstColumn="0" w:lastColumn="0" w:noHBand="0" w:noVBand="0" w:val="0020"/>
      </w:tblPr>
      <w:tblGrid>
        <w:gridCol w:w="1820"/>
        <w:gridCol w:w="1638"/>
        <w:gridCol w:w="1820"/>
        <w:gridCol w:w="2457"/>
      </w:tblGrid>
      <w:tr>
        <w:trPr>
          <w:tblHeader w:val="on"/>
        </w:trPr>
        <w:tc>
          <w:tcPr/>
          <w:p>
            <w:pPr>
              <w:pStyle w:val="Compact"/>
              <w:jc w:val="left"/>
            </w:pPr>
            <w:r>
              <w:rPr>
                <w:b/>
                <w:bCs/>
              </w:rPr>
              <w:t xml:space="preserve">Series</w:t>
            </w:r>
          </w:p>
        </w:tc>
        <w:tc>
          <w:tcPr/>
          <w:p>
            <w:pPr>
              <w:pStyle w:val="Compact"/>
              <w:jc w:val="left"/>
            </w:pPr>
            <w:r>
              <w:rPr>
                <w:b/>
                <w:bCs/>
              </w:rPr>
              <w:t xml:space="preserve">WF</w:t>
            </w:r>
          </w:p>
        </w:tc>
        <w:tc>
          <w:tcPr/>
          <w:p>
            <w:pPr>
              <w:pStyle w:val="Compact"/>
              <w:jc w:val="left"/>
            </w:pPr>
            <w:r>
              <w:rPr>
                <w:b/>
                <w:bCs/>
              </w:rPr>
              <w:t xml:space="preserve">Structure</w:t>
            </w:r>
          </w:p>
        </w:tc>
        <w:tc>
          <w:tcPr/>
          <w:p>
            <w:pPr>
              <w:pStyle w:val="Compact"/>
              <w:jc w:val="left"/>
            </w:pPr>
            <w:r>
              <w:rPr>
                <w:b/>
                <w:bCs/>
              </w:rPr>
              <w:t xml:space="preserve">Skills</w:t>
            </w:r>
          </w:p>
        </w:tc>
      </w:tr>
      <w:tr>
        <w:tc>
          <w:tcPr/>
          <w:p>
            <w:pPr>
              <w:pStyle w:val="Compact"/>
              <w:jc w:val="left"/>
            </w:pPr>
            <w:r>
              <w:t xml:space="preserve">Synthesis Gap</w:t>
            </w:r>
          </w:p>
        </w:tc>
        <w:tc>
          <w:tcPr/>
          <w:p>
            <w:pPr>
              <w:pStyle w:val="Compact"/>
              <w:jc w:val="left"/>
            </w:pPr>
            <w:r>
              <w:t xml:space="preserve">WF-16</w:t>
            </w:r>
          </w:p>
        </w:tc>
        <w:tc>
          <w:tcPr/>
          <w:p>
            <w:pPr>
              <w:pStyle w:val="Compact"/>
              <w:jc w:val="left"/>
            </w:pPr>
            <w:r>
              <w:t xml:space="preserve">A/B</w:t>
            </w:r>
          </w:p>
        </w:tc>
        <w:tc>
          <w:tcPr/>
          <w:p>
            <w:pPr>
              <w:pStyle w:val="Compact"/>
              <w:jc w:val="left"/>
            </w:pPr>
            <w:r>
              <w:t xml:space="preserve">A=cub, B=eugene</w:t>
            </w:r>
          </w:p>
        </w:tc>
      </w:tr>
      <w:tr>
        <w:tc>
          <w:tcPr/>
          <w:p>
            <w:pPr>
              <w:pStyle w:val="Compact"/>
              <w:jc w:val="left"/>
            </w:pPr>
            <w:r>
              <w:t xml:space="preserve">Recovery</w:t>
            </w:r>
          </w:p>
        </w:tc>
        <w:tc>
          <w:tcPr/>
          <w:p>
            <w:pPr>
              <w:pStyle w:val="Compact"/>
              <w:jc w:val="left"/>
            </w:pPr>
            <w:r>
              <w:t xml:space="preserve">WF-14</w:t>
            </w:r>
          </w:p>
        </w:tc>
        <w:tc>
          <w:tcPr/>
          <w:p>
            <w:pPr>
              <w:pStyle w:val="Compact"/>
              <w:jc w:val="left"/>
            </w:pPr>
            <w:r>
              <w:t xml:space="preserve">A/B, Day 0/3/6/10</w:t>
            </w:r>
          </w:p>
        </w:tc>
        <w:tc>
          <w:tcPr/>
          <w:p>
            <w:pPr>
              <w:pStyle w:val="Compact"/>
              <w:jc w:val="left"/>
            </w:pPr>
            <w:r>
              <w:t xml:space="preserve">A=cub, B=eugene</w:t>
            </w:r>
          </w:p>
        </w:tc>
      </w:tr>
      <w:tr>
        <w:tc>
          <w:tcPr/>
          <w:p>
            <w:pPr>
              <w:pStyle w:val="Compact"/>
              <w:jc w:val="left"/>
            </w:pPr>
            <w:r>
              <w:t xml:space="preserve">Tired Test</w:t>
            </w:r>
          </w:p>
        </w:tc>
        <w:tc>
          <w:tcPr/>
          <w:p>
            <w:pPr>
              <w:pStyle w:val="Compact"/>
              <w:jc w:val="left"/>
            </w:pPr>
            <w:r>
              <w:t xml:space="preserve">WF-13</w:t>
            </w:r>
          </w:p>
        </w:tc>
        <w:tc>
          <w:tcPr/>
          <w:p>
            <w:pPr>
              <w:pStyle w:val="Compact"/>
              <w:jc w:val="left"/>
            </w:pPr>
            <w:r>
              <w:t xml:space="preserve">5 emails, single</w:t>
            </w:r>
          </w:p>
        </w:tc>
        <w:tc>
          <w:tcPr/>
          <w:p>
            <w:pPr>
              <w:pStyle w:val="Compact"/>
              <w:jc w:val="left"/>
            </w:pPr>
            <w:r>
              <w:t xml:space="preserve">cub + presell + humanize</w:t>
            </w:r>
          </w:p>
        </w:tc>
      </w:tr>
      <w:tr>
        <w:tc>
          <w:tcPr/>
          <w:p>
            <w:pPr>
              <w:pStyle w:val="Compact"/>
              <w:jc w:val="left"/>
            </w:pPr>
            <w:r>
              <w:t xml:space="preserve">Winter Protocol</w:t>
            </w:r>
          </w:p>
        </w:tc>
        <w:tc>
          <w:tcPr/>
          <w:p>
            <w:pPr>
              <w:pStyle w:val="Compact"/>
              <w:jc w:val="left"/>
            </w:pPr>
            <w:r>
              <w:t xml:space="preserve">WF-20</w:t>
            </w:r>
          </w:p>
        </w:tc>
        <w:tc>
          <w:tcPr/>
          <w:p>
            <w:pPr>
              <w:pStyle w:val="Compact"/>
              <w:jc w:val="left"/>
            </w:pPr>
            <w:r>
              <w:t xml:space="preserve">3 emails, 3A/3B</w:t>
            </w:r>
            <w:r>
              <w:t xml:space="preserve"> </w:t>
            </w:r>
            <w:r>
              <w:t xml:space="preserve">seasonal split</w:t>
            </w:r>
          </w:p>
        </w:tc>
        <w:tc>
          <w:tcPr/>
          <w:p>
            <w:pPr>
              <w:pStyle w:val="Compact"/>
              <w:jc w:val="left"/>
            </w:pPr>
            <w:r>
              <w:t xml:space="preserve">cub + humanize + presell-sandwich</w:t>
            </w:r>
          </w:p>
        </w:tc>
      </w:tr>
      <w:tr>
        <w:tc>
          <w:tcPr/>
          <w:p>
            <w:pPr>
              <w:pStyle w:val="Compact"/>
              <w:jc w:val="left"/>
            </w:pPr>
            <w:r>
              <w:t xml:space="preserve">Long-Term Nurture</w:t>
            </w:r>
          </w:p>
        </w:tc>
        <w:tc>
          <w:tcPr/>
          <w:p>
            <w:pPr>
              <w:pStyle w:val="Compact"/>
              <w:jc w:val="left"/>
            </w:pPr>
            <w:r>
              <w:t xml:space="preserve">WF-17</w:t>
            </w:r>
          </w:p>
        </w:tc>
        <w:tc>
          <w:tcPr/>
          <w:p>
            <w:pPr>
              <w:pStyle w:val="Compact"/>
              <w:jc w:val="left"/>
            </w:pPr>
            <w:r>
              <w:t xml:space="preserve">7 emails, shared</w:t>
            </w:r>
          </w:p>
        </w:tc>
        <w:tc>
          <w:tcPr/>
          <w:p>
            <w:pPr>
              <w:pStyle w:val="Compact"/>
              <w:jc w:val="left"/>
            </w:pPr>
            <w:r>
              <w:t xml:space="preserve">conversion skills</w:t>
            </w:r>
          </w:p>
        </w:tc>
      </w:tr>
    </w:tbl>
    <w:p>
      <w:pPr>
        <w:pStyle w:val="BodyText"/>
      </w:pPr>
      <w:r>
        <w:t xml:space="preserve">Signature (all consumer nurture):</w:t>
      </w:r>
      <w:r>
        <w:t xml:space="preserve"> </w:t>
      </w:r>
      <w:r>
        <w:t xml:space="preserve">“Carpe diem, / Scott Hansbury / Enyrgy Inc / Co-founder &amp; CEO / scott@enyrgy.com / 602-321-0322 / enyrgy.com”</w:t>
      </w:r>
      <w:r>
        <w:t xml:space="preserve">, sent from scott@enyrgy.com to match.</w:t>
      </w:r>
    </w:p>
    <w:bookmarkEnd w:id="89"/>
    <w:bookmarkStart w:id="90" w:name="landing-page-deploy-recipe-proven"/>
    <w:p>
      <w:pPr>
        <w:pStyle w:val="Heading2"/>
      </w:pPr>
      <w:r>
        <w:t xml:space="preserve">Landing-Page Deploy Recipe (proven)</w:t>
      </w:r>
    </w:p>
    <w:p>
      <w:pPr>
        <w:numPr>
          <w:ilvl w:val="0"/>
          <w:numId w:val="1017"/>
        </w:numPr>
      </w:pPr>
      <w:r>
        <w:t xml:space="preserve">Create funnel + step; clean slug from the start.</w:t>
      </w:r>
    </w:p>
    <w:p>
      <w:pPr>
        <w:numPr>
          <w:ilvl w:val="0"/>
          <w:numId w:val="1017"/>
        </w:numPr>
      </w:pPr>
      <w:r>
        <w:t xml:space="preserve">Custom HTML/JavaScript element on a blank step; paste page HTML.</w:t>
      </w:r>
    </w:p>
    <w:p>
      <w:pPr>
        <w:numPr>
          <w:ilvl w:val="0"/>
          <w:numId w:val="1017"/>
        </w:numPr>
      </w:pPr>
      <w:r>
        <w:t xml:space="preserve">Section -&gt; Width: Full.</w:t>
      </w:r>
    </w:p>
    <w:p>
      <w:pPr>
        <w:numPr>
          <w:ilvl w:val="0"/>
          <w:numId w:val="1017"/>
        </w:numPr>
      </w:pPr>
      <w:r>
        <w:t xml:space="preserve">“Allow Rows to take entire width”</w:t>
      </w:r>
      <w:r>
        <w:t xml:space="preserve"> </w:t>
      </w:r>
      <w:r>
        <w:t xml:space="preserve">-&gt; ON.</w:t>
      </w:r>
    </w:p>
    <w:p>
      <w:pPr>
        <w:numPr>
          <w:ilvl w:val="0"/>
          <w:numId w:val="1017"/>
        </w:numPr>
      </w:pPr>
      <w:r>
        <w:t xml:space="preserve">Custom Code element -&gt; Styles -&gt; Width: 100% (defaults to</w:t>
      </w:r>
      <w:r>
        <w:t xml:space="preserve"> </w:t>
      </w:r>
      <w:r>
        <w:t xml:space="preserve">“auto,”</w:t>
      </w:r>
      <w:r>
        <w:t xml:space="preserve"> </w:t>
      </w:r>
      <w:r>
        <w:t xml:space="preserve">which renders narrow, the key step).</w:t>
      </w:r>
    </w:p>
    <w:p>
      <w:pPr>
        <w:numPr>
          <w:ilvl w:val="0"/>
          <w:numId w:val="1017"/>
        </w:numPr>
      </w:pPr>
      <w:r>
        <w:t xml:space="preserve">Connect domain, Publish.</w:t>
      </w:r>
    </w:p>
    <w:p>
      <w:pPr>
        <w:numPr>
          <w:ilvl w:val="0"/>
          <w:numId w:val="1017"/>
        </w:numPr>
      </w:pPr>
      <w:r>
        <w:t xml:space="preserve">Verify in Chrome incognito (NOT Safari, over-caches).</w:t>
      </w:r>
    </w:p>
    <w:p>
      <w:pPr>
        <w:numPr>
          <w:ilvl w:val="0"/>
          <w:numId w:val="1017"/>
        </w:numPr>
      </w:pPr>
      <w:r>
        <w:t xml:space="preserve">Test with a FRESH email (GHL dedupes).</w:t>
      </w:r>
    </w:p>
    <w:p>
      <w:pPr>
        <w:pStyle w:val="FirstParagraph"/>
      </w:pPr>
      <w:r>
        <w:rPr>
          <w:i/>
          <w:iCs/>
        </w:rPr>
        <w:t xml:space="preserve">CONFIDENTIAL, Enyrgy Inc, 5115 N 27th Ave, Bld 66, Phoenix, AZ 85017, enyrgy.com, Sunlight. Evolved., Implementation Guide v3.9.3</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2026-08-05T04:45:33Z</dcterms:created>
  <dcterms:modified xsi:type="dcterms:W3CDTF">2026-08-05T04:45:33Z</dcterms:modified>
</cp:coreProperties>
</file>

<file path=docProps/custom.xml><?xml version="1.0" encoding="utf-8"?>
<Properties xmlns="http://schemas.openxmlformats.org/officeDocument/2006/custom-properties" xmlns:vt="http://schemas.openxmlformats.org/officeDocument/2006/docPropsVTypes"/>
</file>