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enyrgy-knowledge-base-shared-agent-read"/>
    <w:p>
      <w:pPr>
        <w:pStyle w:val="Heading1"/>
      </w:pPr>
      <w:r>
        <w:t xml:space="preserve">Enyrgy Knowledge Base (Shared, Agent-Read)</w:t>
      </w:r>
    </w:p>
    <w:p>
      <w:pPr>
        <w:pStyle w:val="FirstParagraph"/>
      </w:pPr>
      <w:r>
        <w:rPr>
          <w:b/>
          <w:bCs/>
        </w:rPr>
        <w:t xml:space="preserve">The single source of truth every Enyrgy Paperclip agent reads facts from. No agent may invent a number, claim, policy, price, or date. If a fact is not in here, escalate to the KB Manager rather than guess.</w:t>
      </w:r>
      <w:r>
        <w:t xml:space="preserve"> </w:t>
      </w:r>
      <w:r>
        <w:t xml:space="preserve">Grounded in Implementation Guide v3.9 (Sections 1, 14, 15, 17 to 19, 22) with the Session 8 claim correction applied. Sub-account: GtXjla7Ld1dordsTWrVy.</w:t>
      </w:r>
    </w:p>
    <w:p>
      <w:pPr>
        <w:pStyle w:val="BodyText"/>
      </w:pPr>
      <w:r>
        <w:t xml:space="preserve">No em-dashes anywhere. Peer-to-peer voice. Sunlight. Evolved.</w:t>
      </w:r>
    </w:p>
    <w:p>
      <w:r>
        <w:pict>
          <v:rect style="width:0;height:1.5pt" o:hralign="center" o:hrstd="t" o:hr="t"/>
        </w:pict>
      </w:r>
    </w:p>
    <w:bookmarkStart w:id="17" w:name="company-snapshot"/>
    <w:p>
      <w:pPr>
        <w:pStyle w:val="Heading2"/>
      </w:pPr>
      <w:r>
        <w:t xml:space="preserve">1. Company snapshot</w:t>
      </w:r>
    </w:p>
    <w:p>
      <w:pPr>
        <w:pStyle w:val="FirstParagraph"/>
      </w:pPr>
      <w:r>
        <w:t xml:space="preserve">Enyrgy is a health-technology company that developed the Enyrgy Vitamin D Primal Light Platform, an intelligent precision phototherapy platform. Mission: restore the body’s natural ability to respond to sunlight with precision, safety, and measurable benefit.</w:t>
      </w:r>
    </w:p>
    <w:p>
      <w:pPr>
        <w:pStyle w:val="Compact"/>
        <w:numPr>
          <w:ilvl w:val="0"/>
          <w:numId w:val="1001"/>
        </w:numPr>
      </w:pPr>
      <w:r>
        <w:t xml:space="preserve">Customers: 600+ (organic growth, zero paid advertising to date).</w:t>
      </w:r>
    </w:p>
    <w:p>
      <w:pPr>
        <w:pStyle w:val="Compact"/>
        <w:numPr>
          <w:ilvl w:val="0"/>
          <w:numId w:val="1001"/>
        </w:numPr>
      </w:pPr>
      <w:r>
        <w:t xml:space="preserve">Treatments completed: 25,000+ (zero burns, zero adverse events).</w:t>
      </w:r>
    </w:p>
    <w:p>
      <w:pPr>
        <w:pStyle w:val="Compact"/>
        <w:numPr>
          <w:ilvl w:val="0"/>
          <w:numId w:val="1001"/>
        </w:numPr>
      </w:pPr>
      <w:r>
        <w:t xml:space="preserve">Return rate: under 1 percent (industry average 5 to 10 percent).</w:t>
      </w:r>
    </w:p>
    <w:p>
      <w:pPr>
        <w:pStyle w:val="Compact"/>
        <w:numPr>
          <w:ilvl w:val="0"/>
          <w:numId w:val="1001"/>
        </w:numPr>
      </w:pPr>
      <w:r>
        <w:t xml:space="preserve">Countries with inbound demand: 5 (USA, UK, Canada, France, New Zealand).</w:t>
      </w:r>
    </w:p>
    <w:p>
      <w:pPr>
        <w:pStyle w:val="Compact"/>
        <w:numPr>
          <w:ilvl w:val="0"/>
          <w:numId w:val="1001"/>
        </w:numPr>
      </w:pPr>
      <w:r>
        <w:t xml:space="preserve">Red light co-use: 90 percent of customers also use red light therapy.</w:t>
      </w:r>
    </w:p>
    <w:p>
      <w:pPr>
        <w:pStyle w:val="Compact"/>
        <w:numPr>
          <w:ilvl w:val="0"/>
          <w:numId w:val="1001"/>
        </w:numPr>
      </w:pPr>
      <w:r>
        <w:t xml:space="preserve">Facility: 5115 N 27th Ave, Bld 66, Phoenix, AZ 85017. Made in USA (relocated from Scottsdale).</w:t>
      </w:r>
    </w:p>
    <w:p>
      <w:pPr>
        <w:pStyle w:val="Compact"/>
        <w:numPr>
          <w:ilvl w:val="0"/>
          <w:numId w:val="1001"/>
        </w:numPr>
      </w:pPr>
      <w:r>
        <w:t xml:space="preserve">Founders and team: Scott Hansbury (Co-founder &amp; CEO), David Letourneau (President and Co-Founder), Brian Cameron (CFO).</w:t>
      </w:r>
    </w:p>
    <w:p>
      <w:pPr>
        <w:pStyle w:val="Compact"/>
        <w:numPr>
          <w:ilvl w:val="0"/>
          <w:numId w:val="1001"/>
        </w:numPr>
      </w:pPr>
      <w:r>
        <w:t xml:space="preserve">Founder track record (verified, investor-facing): Scott Hansbury, 8 startups, 5 exits, $500M+ in value created. David Letourneau, scaled Alair Homes from 1 to 100+ locations, $750M+ in sales.</w:t>
      </w:r>
    </w:p>
    <w:p>
      <w:pPr>
        <w:pStyle w:val="Compact"/>
        <w:numPr>
          <w:ilvl w:val="0"/>
          <w:numId w:val="1001"/>
        </w:numPr>
      </w:pPr>
      <w:r>
        <w:t xml:space="preserve">Active OEM partner: Lumanova (Luma D Light).</w:t>
      </w:r>
    </w:p>
    <w:bookmarkEnd w:id="17"/>
    <w:bookmarkStart w:id="18" w:name="product-the-triple-pathway-advantage"/>
    <w:p>
      <w:pPr>
        <w:pStyle w:val="Heading2"/>
      </w:pPr>
      <w:r>
        <w:t xml:space="preserve">2. Product: the Triple-Pathway Advantage</w:t>
      </w:r>
    </w:p>
    <w:p>
      <w:pPr>
        <w:pStyle w:val="FirstParagraph"/>
      </w:pPr>
      <w:r>
        <w:t xml:space="preserve">Product name on first reference:</w:t>
      </w:r>
      <w:r>
        <w:t xml:space="preserve"> </w:t>
      </w:r>
      <w:r>
        <w:rPr>
          <w:b/>
          <w:bCs/>
        </w:rPr>
        <w:t xml:space="preserve">Enyrgy Vitamin D Primal Light Platform</w:t>
      </w:r>
      <w:r>
        <w:t xml:space="preserve">. Deprecated names, never use:</w:t>
      </w:r>
      <w:r>
        <w:t xml:space="preserve"> </w:t>
      </w:r>
      <w:r>
        <w:t xml:space="preserve">“Precision Vitamin D Wellness Platform,”</w:t>
      </w:r>
      <w:r>
        <w:t xml:space="preserve"> </w:t>
      </w:r>
      <w:r>
        <w:t xml:space="preserve">“Primal Light Platform”</w:t>
      </w:r>
      <w:r>
        <w:t xml:space="preserve"> </w:t>
      </w:r>
      <w:r>
        <w:t xml:space="preserve">alone.</w:t>
      </w:r>
    </w:p>
    <w:p>
      <w:pPr>
        <w:pStyle w:val="Compact"/>
        <w:numPr>
          <w:ilvl w:val="0"/>
          <w:numId w:val="1002"/>
        </w:numPr>
      </w:pPr>
      <w:r>
        <w:t xml:space="preserve">Pathway 1, Vitamin D synthesis: 2.4x more efficient than sunlight. 2 to 4 minutes equals 2 to 4 hours of mid-day sun. Vitamin D synthesis requires UVB in the 280 to 315 nm band; visible-light and circadian lamps do not emit UVB and cannot trigger it.</w:t>
      </w:r>
    </w:p>
    <w:p>
      <w:pPr>
        <w:pStyle w:val="Compact"/>
        <w:numPr>
          <w:ilvl w:val="0"/>
          <w:numId w:val="1002"/>
        </w:numPr>
      </w:pPr>
      <w:r>
        <w:t xml:space="preserve">Pathway 2, Nitric Oxide release: supports cardiovascular regulation and blood pressure. Cannot be delivered orally (see the nitric oxide framing rule in section 10).</w:t>
      </w:r>
    </w:p>
    <w:p>
      <w:pPr>
        <w:pStyle w:val="Compact"/>
        <w:numPr>
          <w:ilvl w:val="0"/>
          <w:numId w:val="1002"/>
        </w:numPr>
      </w:pPr>
      <w:r>
        <w:t xml:space="preserve">Pathway 3, Serotonin production: sleep, mood, and cognitive function. Users report improvements within weeks. Sleep mechanism (educational framing only): serotonin made from daytime light is the precursor the body converts to melatonin, the hormone that regulates the sleep cycle; less daytime light means less of that upstream chemistry. Present this as how the biology works, not as a promise the device improves sleep (wellness device, no medical claims).</w:t>
      </w:r>
    </w:p>
    <w:p>
      <w:pPr>
        <w:pStyle w:val="FirstParagraph"/>
      </w:pPr>
      <w:r>
        <w:t xml:space="preserve">Sunlight photochemistry (grounds the</w:t>
      </w:r>
      <w:r>
        <w:t xml:space="preserve"> </w:t>
      </w:r>
      <w:r>
        <w:t xml:space="preserve">“light does five”</w:t>
      </w:r>
      <w:r>
        <w:t xml:space="preserve"> </w:t>
      </w:r>
      <w:r>
        <w:t xml:space="preserve">framing): light on skin produces more than vitamin D3. The parallel outputs are vitamin D3, vitamin D3 sulfate, photoproducts (for example lumisterol and tachysterol), nitric oxide (UVA photorelease), and serotonin (daytime light). These are parallel outputs of one exposure, not a linear chain; nitric oxide and serotonin are separate light pathways, not downstream products of vitamin D. Copy may say sunlight or light produces five outputs. Enyrgy’s marketed, benefit-substantiated pathways remain the three of the Triple-Pathway Advantage (vitamin D, nitric oxide, serotonin); do not claim specific health benefits for vitamin D sulfate or photoproducts beyond noting they are additional things sunlight makes. A statement about what light does (five outputs) is fine; a claim that the device delivers five distinct benefits is not. Rule of thumb for all copy: when describing what sunlight or light does, say five outputs; when describing what Enyrgy delivers, say the three Triple-Pathway pathways.</w:t>
      </w:r>
    </w:p>
    <w:p>
      <w:pPr>
        <w:pStyle w:val="BodyText"/>
      </w:pPr>
      <w:r>
        <w:t xml:space="preserve">Sales anchor: no other solution delivers all three simultaneously. Supplements deliver Vitamin D only. Sunlight needs about 60x more time plus cancer risk. Red light is a different mechanism entirely (90 percent of Enyrgy customers use both). Enyrgy is a new category.</w:t>
      </w:r>
    </w:p>
    <w:p>
      <w:pPr>
        <w:pStyle w:val="BodyText"/>
      </w:pPr>
      <w:r>
        <w:t xml:space="preserve">Approved trademarked terms:</w:t>
      </w:r>
      <w:r>
        <w:t xml:space="preserve"> </w:t>
      </w:r>
      <w:r>
        <w:rPr>
          <w:b/>
          <w:bCs/>
        </w:rPr>
        <w:t xml:space="preserve">BioCalibrated Sunshine</w:t>
      </w:r>
      <w:r>
        <w:t xml:space="preserve"> </w:t>
      </w:r>
      <w:r>
        <w:t xml:space="preserve">(personalized-dosing and skin-type angle),</w:t>
      </w:r>
      <w:r>
        <w:t xml:space="preserve"> </w:t>
      </w:r>
      <w:r>
        <w:rPr>
          <w:b/>
          <w:bCs/>
        </w:rPr>
        <w:t xml:space="preserve">Triple-Pathway Advantage</w:t>
      </w:r>
      <w:r>
        <w:t xml:space="preserve">.</w:t>
      </w:r>
    </w:p>
    <w:bookmarkEnd w:id="18"/>
    <w:bookmarkStart w:id="19" w:name="pricing-and-unit-economics"/>
    <w:p>
      <w:pPr>
        <w:pStyle w:val="Heading2"/>
      </w:pPr>
      <w:r>
        <w:t xml:space="preserve">3. Pricing and unit economics</w:t>
      </w:r>
    </w:p>
    <w:p>
      <w:pPr>
        <w:pStyle w:val="Compact"/>
        <w:numPr>
          <w:ilvl w:val="0"/>
          <w:numId w:val="1003"/>
        </w:numPr>
      </w:pPr>
      <w:r>
        <w:t xml:space="preserve">Consumer Unit MSRP: $2,995 (gross margin 66 percent). Primary revenue driver, direct to consumer.</w:t>
      </w:r>
    </w:p>
    <w:p>
      <w:pPr>
        <w:pStyle w:val="Compact"/>
        <w:numPr>
          <w:ilvl w:val="0"/>
          <w:numId w:val="1003"/>
        </w:numPr>
      </w:pPr>
      <w:r>
        <w:t xml:space="preserve">Commercial Unit MSRP: $8,950 (gross margin 78 percent). B2B wellness, growing.</w:t>
      </w:r>
    </w:p>
    <w:p>
      <w:pPr>
        <w:pStyle w:val="Compact"/>
        <w:numPr>
          <w:ilvl w:val="0"/>
          <w:numId w:val="1003"/>
        </w:numPr>
      </w:pPr>
      <w:r>
        <w:t xml:space="preserve">Per-session cost: $2.30 (5 sessions per week over 5 years, roughly 1,300 sessions).</w:t>
      </w:r>
    </w:p>
    <w:p>
      <w:pPr>
        <w:pStyle w:val="Compact"/>
        <w:numPr>
          <w:ilvl w:val="0"/>
          <w:numId w:val="1003"/>
        </w:numPr>
      </w:pPr>
      <w:r>
        <w:t xml:space="preserve">Referral: $150 off for the referee, $100 credit for the referrer (used in WF-07).</w:t>
      </w:r>
    </w:p>
    <w:p>
      <w:pPr>
        <w:pStyle w:val="Compact"/>
        <w:numPr>
          <w:ilvl w:val="0"/>
          <w:numId w:val="1003"/>
        </w:numPr>
      </w:pPr>
      <w:r>
        <w:t xml:space="preserve">Guarantee: 30-day money-back guarantee on the Consumer Unit. If it is not for you, return it within 30 days (return rate is under 1 percent, see Section 4).</w:t>
      </w:r>
    </w:p>
    <w:p>
      <w:pPr>
        <w:pStyle w:val="Compact"/>
        <w:numPr>
          <w:ilvl w:val="0"/>
          <w:numId w:val="1003"/>
        </w:numPr>
      </w:pPr>
      <w:r>
        <w:t xml:space="preserve">Payment options: the Consumer Unit can be paid in full, financed, or rented monthly, so it can fit a monthly budget instead of a lump sum. Financing and rental are both real, offered options; specific rates and terms are not yet in the KB, so confirm with the KB Manager before quoting any figure.</w:t>
      </w:r>
    </w:p>
    <w:p>
      <w:pPr>
        <w:pStyle w:val="Compact"/>
        <w:numPr>
          <w:ilvl w:val="0"/>
          <w:numId w:val="1003"/>
        </w:numPr>
      </w:pPr>
      <w:r>
        <w:t xml:space="preserve">OEM white-label (Lumanova / Luma D Light): same MSRP, wholesale arrangement.</w:t>
      </w:r>
    </w:p>
    <w:p>
      <w:pPr>
        <w:pStyle w:val="Compact"/>
        <w:numPr>
          <w:ilvl w:val="0"/>
          <w:numId w:val="1003"/>
        </w:numPr>
      </w:pPr>
      <w:r>
        <w:t xml:space="preserve">Order URL: https://shop.enyrgy.com/products/uvb-light-therapy. Device registration: https://api.enyrgy.com/. Discovery-call booking: https://api.leadconnectorhq.com/widget/booking/C0hV5CFHUhWOIzs4OedC. Customer Testimonial Form: https://api.leadconnectorhq.com/widget/form/OjahkWeVDeozQkfG9dW2?notrack=true. Google review (GBP), live: https://g.page/r/CfN5Rj0CdmrfEAI/review. Trustpilot review: https://www.trustpilot.com/evaluate/enyrgy.com.</w:t>
      </w:r>
    </w:p>
    <w:p>
      <w:pPr>
        <w:pStyle w:val="Compact"/>
        <w:numPr>
          <w:ilvl w:val="0"/>
          <w:numId w:val="1003"/>
        </w:numPr>
      </w:pPr>
      <w:r>
        <w:t xml:space="preserve">Commercial model: operators add Enyrgy as a $49-per-month modality add-on per client. Revenue scales with client count: 25 clients is $1,225 per month ($14,700 per year); 50 clients is $2,450 per month ($29,400 per year); 100 clients is $4,900 per month ($58,800 per year). Against the $8,950 unit cost, payback at 50 clients is under 4 months.</w:t>
      </w:r>
    </w:p>
    <w:bookmarkEnd w:id="19"/>
    <w:bookmarkStart w:id="21" w:name="clinical-and-credibility-data"/>
    <w:p>
      <w:pPr>
        <w:pStyle w:val="Heading2"/>
      </w:pPr>
      <w:r>
        <w:t xml:space="preserve">4. Clinical and credibility data</w:t>
      </w:r>
    </w:p>
    <w:p>
      <w:pPr>
        <w:pStyle w:val="Compact"/>
        <w:numPr>
          <w:ilvl w:val="0"/>
          <w:numId w:val="1004"/>
        </w:numPr>
      </w:pPr>
      <w:r>
        <w:t xml:space="preserve">Clinical study result: 12-week study; average Vitamin D increase of 111 percent (participants went from an average of 39.96 ng/mL to 84.20 ng/mL); 100 percent of participants reached optimal Vitamin D levels.</w:t>
      </w:r>
    </w:p>
    <w:p>
      <w:pPr>
        <w:pStyle w:val="Compact"/>
        <w:numPr>
          <w:ilvl w:val="0"/>
          <w:numId w:val="1004"/>
        </w:numPr>
      </w:pPr>
      <w:r>
        <w:t xml:space="preserve">Clinical study design and limitations (always cite results with this context): small pilot, N = 5 healthy adults, 4 to 6 sessions per week, 12 weeks, no control group. Larger trials are in development. When citing the 111 percent or 100-percent-optimal figures, present them as a small uncontrolled pilot, not as a large or controlled trial.</w:t>
      </w:r>
    </w:p>
    <w:p>
      <w:pPr>
        <w:pStyle w:val="Compact"/>
        <w:numPr>
          <w:ilvl w:val="0"/>
          <w:numId w:val="1004"/>
        </w:numPr>
      </w:pPr>
      <w:r>
        <w:t xml:space="preserve">Participant-level results (12-week pilot, about 5 sessions per week, skin types II to IV): P1 (Skin Type II) 38.4 to 86.0; P2 (III) 34.0 to 88.4; P3 (III) 37.0 to 78.0; P4 (IV) 47.0 to 88.7; P5 (III) 43.4 to 79.9 ng/mL. These reconcile to the reported averages (start 39.96, end 84.20). All started insufficient or borderline, all reached optimal, zero dropouts. Present with the same N = 5 pilot caveat as the averages.</w:t>
      </w:r>
    </w:p>
    <w:p>
      <w:pPr>
        <w:pStyle w:val="Compact"/>
        <w:numPr>
          <w:ilvl w:val="0"/>
          <w:numId w:val="1004"/>
        </w:numPr>
      </w:pPr>
      <w:r>
        <w:t xml:space="preserve">Efficiency: 2.4x more efficient than sunlight for Vitamin D synthesis; 2 to 4 minutes equals 2 to 4 hours of mid-day sun (about 60x).</w:t>
      </w:r>
    </w:p>
    <w:p>
      <w:pPr>
        <w:pStyle w:val="Compact"/>
        <w:numPr>
          <w:ilvl w:val="0"/>
          <w:numId w:val="1004"/>
        </w:numPr>
      </w:pPr>
      <w:r>
        <w:t xml:space="preserve">Safety: 25,000+ sessions with zero burns and zero adverse events. The device emits over 90 percent UVB and under 10 percent UVA, the opposite of sunlight (about 95 percent UVA). The app calculates each user’s personal MED by skin type and shuts off automatically. Each session runs 2 to 4 minutes set by skin type, and the app allows a maximum of one session per day (it prevents more than one), so</w:t>
      </w:r>
      <w:r>
        <w:t xml:space="preserve"> </w:t>
      </w:r>
      <w:r>
        <w:t xml:space="preserve">“2 to 4 minutes a day”</w:t>
      </w:r>
      <w:r>
        <w:t xml:space="preserve"> </w:t>
      </w:r>
      <w:r>
        <w:t xml:space="preserve">is accurate.</w:t>
      </w:r>
    </w:p>
    <w:p>
      <w:pPr>
        <w:pStyle w:val="Compact"/>
        <w:numPr>
          <w:ilvl w:val="0"/>
          <w:numId w:val="1004"/>
        </w:numPr>
      </w:pPr>
      <w:r>
        <w:t xml:space="preserve">Return rate under 1 percent, roughly 5 to 10x better than the industry average.</w:t>
      </w:r>
    </w:p>
    <w:bookmarkStart w:id="20" w:name="X348ceaeaf7c4d682e7f80c59634d85e8a3d0daf"/>
    <w:p>
      <w:pPr>
        <w:pStyle w:val="Heading3"/>
      </w:pPr>
      <w:r>
        <w:t xml:space="preserve">Athlete and bone-health research (supports the Recovery Protocol and the Athlete ICP)</w:t>
      </w:r>
    </w:p>
    <w:p>
      <w:pPr>
        <w:pStyle w:val="FirstParagraph"/>
      </w:pPr>
      <w:r>
        <w:t xml:space="preserve">These are findings from the general peer-reviewed literature on UVB and natural vitamin D synthesis, NOT clinical trials of the Enyrgy device. Cite as</w:t>
      </w:r>
      <w:r>
        <w:t xml:space="preserve"> </w:t>
      </w:r>
      <w:r>
        <w:t xml:space="preserve">“research shows,”</w:t>
      </w:r>
      <w:r>
        <w:t xml:space="preserve"> </w:t>
      </w:r>
      <w:r>
        <w:t xml:space="preserve">attribute to the study, and do not claim the Enyrgy device itself was tested for these outcomes. Keep it non-medical (Enyrgy is a wellness device): describe how vitamin D supports bone and recovery; never</w:t>
      </w:r>
      <w:r>
        <w:t xml:space="preserve"> </w:t>
      </w:r>
      <w:r>
        <w:t xml:space="preserve">“treat”</w:t>
      </w:r>
      <w:r>
        <w:t xml:space="preserve">,</w:t>
      </w:r>
      <w:r>
        <w:t xml:space="preserve"> </w:t>
      </w:r>
      <w:r>
        <w:t xml:space="preserve">“heal”</w:t>
      </w:r>
      <w:r>
        <w:t xml:space="preserve">,</w:t>
      </w:r>
      <w:r>
        <w:t xml:space="preserve"> </w:t>
      </w:r>
      <w:r>
        <w:t xml:space="preserve">“cure”</w:t>
      </w:r>
      <w:r>
        <w:t xml:space="preserve">, or</w:t>
      </w:r>
      <w:r>
        <w:t xml:space="preserve"> </w:t>
      </w:r>
      <w:r>
        <w:t xml:space="preserve">“fix”</w:t>
      </w:r>
      <w:r>
        <w:t xml:space="preserve">. Do not overstate (</w:t>
      </w:r>
      <w:r>
        <w:t xml:space="preserve">“proves”</w:t>
      </w:r>
      <w:r>
        <w:t xml:space="preserve">,</w:t>
      </w:r>
      <w:r>
        <w:t xml:space="preserve"> </w:t>
      </w:r>
      <w:r>
        <w:t xml:space="preserve">“definitively superior”</w:t>
      </w:r>
      <w:r>
        <w:t xml:space="preserve">,</w:t>
      </w:r>
      <w:r>
        <w:t xml:space="preserve"> </w:t>
      </w:r>
      <w:r>
        <w:t xml:space="preserve">“conclusive”</w:t>
      </w:r>
      <w:r>
        <w:t xml:space="preserve">); the studies support the mechanism, they are not device trials. Full compilation on file (Research/Bone Health).</w:t>
      </w:r>
    </w:p>
    <w:p>
      <w:pPr>
        <w:pStyle w:val="BodyText"/>
      </w:pPr>
      <w:r>
        <w:t xml:space="preserve">Approved figures with sources:</w:t>
      </w:r>
      <w:r>
        <w:t xml:space="preserve"> </w:t>
      </w:r>
      <w:r>
        <w:t xml:space="preserve">- Bone: UVB / natural vitamin D synthesis is associated with up to 14 percent higher bone mineral density and 11 percent greater bone mechanical strength versus supplementation or controls (Morita et al., Heliyon 2020: trabecular BMD 61 vs 47 percent in controls; mechanical strength +11 percent, P=0.036).</w:t>
      </w:r>
      <w:r>
        <w:t xml:space="preserve"> </w:t>
      </w:r>
      <w:r>
        <w:t xml:space="preserve">- Performance threshold: peak neuromuscular performance is associated with 25(OH)D around 50 ng/mL (Shuler et al., Sports Health 2012).</w:t>
      </w:r>
      <w:r>
        <w:t xml:space="preserve"> </w:t>
      </w:r>
      <w:r>
        <w:t xml:space="preserve">- UVB vs pills: narrowband UVB three times per week raised vitamin D more effectively than 1600 IU per day of oral D3 in a randomized trial (Bogh et al., British Journal of Dermatology 2012).</w:t>
      </w:r>
      <w:r>
        <w:t xml:space="preserve"> </w:t>
      </w:r>
      <w:r>
        <w:t xml:space="preserve">- Source share and half-life: UVB contributes roughly 80 to 90 percent of circulating 25(OH)D (diet and supplements 10 to 20 percent), with a longer half-life, about 21 to 30 days (Owens et al., Sports Medicine 2018; Holick et al., JBMR 2007).</w:t>
      </w:r>
      <w:r>
        <w:t xml:space="preserve"> </w:t>
      </w:r>
      <w:r>
        <w:t xml:space="preserve">- Recovery: adequate vitamin D supports muscle repair and is associated with lower muscle-damage markers (creatine kinase, LDH, C-reactive protein) and less soreness after intense exercise; deficiency (under 30 ng/mL) is associated with impaired strength and slower recovery (Owens 2018; Caballero-Garcia et al., Nutrients 2021; Rojano-Ortega et al., JHND 2023).</w:t>
      </w:r>
      <w:r>
        <w:t xml:space="preserve"> </w:t>
      </w:r>
      <w:r>
        <w:t xml:space="preserve">- Fracture healing: natural vitamin D synthesis supports bone callus formation and mineralization at fracture sites (Fischer et al., ECM 2018).</w:t>
      </w:r>
      <w:r>
        <w:t xml:space="preserve"> </w:t>
      </w:r>
      <w:r>
        <w:t xml:space="preserve">- Dosing reference used in the research: roughly 10 to 15 minutes of midday sun, three times per week.</w:t>
      </w:r>
    </w:p>
    <w:bookmarkEnd w:id="20"/>
    <w:bookmarkEnd w:id="21"/>
    <w:bookmarkStart w:id="22" w:name="advisory-board"/>
    <w:p>
      <w:pPr>
        <w:pStyle w:val="Heading2"/>
      </w:pPr>
      <w:r>
        <w:t xml:space="preserve">5. Advisory board</w:t>
      </w:r>
    </w:p>
    <w:p>
      <w:pPr>
        <w:pStyle w:val="FirstParagraph"/>
      </w:pPr>
      <w:r>
        <w:t xml:space="preserve">Scientific Advisory Board, approved bios (use as written; do not embellish beyond these):</w:t>
      </w:r>
    </w:p>
    <w:p>
      <w:pPr>
        <w:pStyle w:val="Compact"/>
        <w:numPr>
          <w:ilvl w:val="0"/>
          <w:numId w:val="1005"/>
        </w:numPr>
      </w:pPr>
      <w:r>
        <w:rPr>
          <w:b/>
          <w:bCs/>
        </w:rPr>
        <w:t xml:space="preserve">Dr. Bruce Hollis:</w:t>
      </w:r>
      <w:r>
        <w:t xml:space="preserve"> </w:t>
      </w:r>
      <w:r>
        <w:t xml:space="preserve">over 70,000 citations, widely regarded as the Godfather of Vitamin D Research. He has reviewed and endorsed the Enyrgy platform.</w:t>
      </w:r>
    </w:p>
    <w:p>
      <w:pPr>
        <w:pStyle w:val="Compact"/>
        <w:numPr>
          <w:ilvl w:val="0"/>
          <w:numId w:val="1005"/>
        </w:numPr>
      </w:pPr>
      <w:r>
        <w:rPr>
          <w:b/>
          <w:bCs/>
        </w:rPr>
        <w:t xml:space="preserve">Dr. Samantha Kimball:</w:t>
      </w:r>
      <w:r>
        <w:t xml:space="preserve"> </w:t>
      </w:r>
      <w:r>
        <w:t xml:space="preserve">designed the MED protocol that powers every session; a leading researcher in UV therapy safety.</w:t>
      </w:r>
    </w:p>
    <w:p>
      <w:pPr>
        <w:pStyle w:val="Compact"/>
        <w:numPr>
          <w:ilvl w:val="0"/>
          <w:numId w:val="1005"/>
        </w:numPr>
      </w:pPr>
      <w:r>
        <w:rPr>
          <w:b/>
          <w:bCs/>
        </w:rPr>
        <w:t xml:space="preserve">Dr. William Grant:</w:t>
      </w:r>
      <w:r>
        <w:t xml:space="preserve"> </w:t>
      </w:r>
      <w:r>
        <w:t xml:space="preserve">NASA UVB researcher and pioneer in phototherapy science.</w:t>
      </w:r>
    </w:p>
    <w:p>
      <w:pPr>
        <w:pStyle w:val="FirstParagraph"/>
      </w:pPr>
      <w:r>
        <w:t xml:space="preserve">Do not paraphrase or embellish an advisor’s credentials beyond these approved bios. The short approved phrasing for objection handling remains</w:t>
      </w:r>
      <w:r>
        <w:t xml:space="preserve"> </w:t>
      </w:r>
      <w:r>
        <w:t xml:space="preserve">“advisory board includes Dr. Bruce Hollis.”</w:t>
      </w:r>
      <w:r>
        <w:t xml:space="preserve"> </w:t>
      </w:r>
      <w:r>
        <w:t xml:space="preserve">Compliance note: any public claim that an advisor</w:t>
      </w:r>
      <w:r>
        <w:t xml:space="preserve"> </w:t>
      </w:r>
      <w:r>
        <w:t xml:space="preserve">“reviewed and endorsed”</w:t>
      </w:r>
      <w:r>
        <w:t xml:space="preserve"> </w:t>
      </w:r>
      <w:r>
        <w:t xml:space="preserve">the platform must have the advisor’s documented consent on file, per FTC endorsement rules.</w:t>
      </w:r>
    </w:p>
    <w:bookmarkEnd w:id="22"/>
    <w:bookmarkStart w:id="23" w:name="X2416962bbe798b4d07d64a796f71649a000b8ee"/>
    <w:p>
      <w:pPr>
        <w:pStyle w:val="Heading2"/>
      </w:pPr>
      <w:r>
        <w:t xml:space="preserve">6. Approved talking points (voiced, use as written)</w:t>
      </w:r>
    </w:p>
    <w:p>
      <w:pPr>
        <w:pStyle w:val="Compact"/>
        <w:numPr>
          <w:ilvl w:val="0"/>
          <w:numId w:val="1006"/>
        </w:numPr>
      </w:pPr>
      <w:r>
        <w:t xml:space="preserve">Every human body was meant to thrive on sunlight. We just made it safe, personalized and controllable. (Standard Description, do not alter.)</w:t>
      </w:r>
    </w:p>
    <w:p>
      <w:pPr>
        <w:pStyle w:val="Compact"/>
        <w:numPr>
          <w:ilvl w:val="0"/>
          <w:numId w:val="1006"/>
        </w:numPr>
      </w:pPr>
      <w:r>
        <w:t xml:space="preserve">Get your body responding to sunlight the way it was meant to.</w:t>
      </w:r>
    </w:p>
    <w:p>
      <w:pPr>
        <w:pStyle w:val="Compact"/>
        <w:numPr>
          <w:ilvl w:val="0"/>
          <w:numId w:val="1006"/>
        </w:numPr>
      </w:pPr>
      <w:r>
        <w:t xml:space="preserve">Three biological pathways, switched on in 2 to 4 minutes.</w:t>
      </w:r>
    </w:p>
    <w:p>
      <w:pPr>
        <w:pStyle w:val="Compact"/>
        <w:numPr>
          <w:ilvl w:val="0"/>
          <w:numId w:val="1006"/>
        </w:numPr>
      </w:pPr>
      <w:r>
        <w:t xml:space="preserve">25,000+ sessions with zero adverse events.</w:t>
      </w:r>
    </w:p>
    <w:p>
      <w:pPr>
        <w:pStyle w:val="Compact"/>
        <w:numPr>
          <w:ilvl w:val="0"/>
          <w:numId w:val="1006"/>
        </w:numPr>
      </w:pPr>
      <w:r>
        <w:t xml:space="preserve">In our clinical study, 100 percent of participants reached optimal Vitamin D levels.</w:t>
      </w:r>
    </w:p>
    <w:p>
      <w:pPr>
        <w:pStyle w:val="Compact"/>
        <w:numPr>
          <w:ilvl w:val="0"/>
          <w:numId w:val="1006"/>
        </w:numPr>
      </w:pPr>
      <w:r>
        <w:t xml:space="preserve">2.4x more efficient than sunlight for Vitamin D synthesis.</w:t>
      </w:r>
    </w:p>
    <w:p>
      <w:pPr>
        <w:pStyle w:val="Compact"/>
        <w:numPr>
          <w:ilvl w:val="0"/>
          <w:numId w:val="1006"/>
        </w:numPr>
      </w:pPr>
      <w:r>
        <w:t xml:space="preserve">The app reads your skin type, sets your dose, and ends the session for you.</w:t>
      </w:r>
    </w:p>
    <w:p>
      <w:pPr>
        <w:pStyle w:val="Compact"/>
        <w:numPr>
          <w:ilvl w:val="0"/>
          <w:numId w:val="1006"/>
        </w:numPr>
      </w:pPr>
      <w:r>
        <w:t xml:space="preserve">Under 1 percent of people send it back. The industry lives at 5 to 10 percent.</w:t>
      </w:r>
    </w:p>
    <w:p>
      <w:pPr>
        <w:pStyle w:val="Compact"/>
        <w:numPr>
          <w:ilvl w:val="0"/>
          <w:numId w:val="1006"/>
        </w:numPr>
      </w:pPr>
      <w:r>
        <w:t xml:space="preserve">Built in Phoenix, Arizona. Made in USA.</w:t>
      </w:r>
    </w:p>
    <w:p>
      <w:pPr>
        <w:pStyle w:val="Compact"/>
        <w:numPr>
          <w:ilvl w:val="0"/>
          <w:numId w:val="1006"/>
        </w:numPr>
      </w:pPr>
      <w:r>
        <w:t xml:space="preserve">600+ customers, 5 countries, zero paid ads.</w:t>
      </w:r>
    </w:p>
    <w:p>
      <w:pPr>
        <w:pStyle w:val="Compact"/>
        <w:numPr>
          <w:ilvl w:val="0"/>
          <w:numId w:val="1006"/>
        </w:numPr>
      </w:pPr>
      <w:r>
        <w:t xml:space="preserve">Lumanova picked our technology to launch their own light, Luma D Light.</w:t>
      </w:r>
    </w:p>
    <w:p>
      <w:pPr>
        <w:pStyle w:val="Compact"/>
        <w:numPr>
          <w:ilvl w:val="0"/>
          <w:numId w:val="1006"/>
        </w:numPr>
      </w:pPr>
      <w:r>
        <w:t xml:space="preserve">$2,995 to own it at home. $8,950 for the commercial unit.</w:t>
      </w:r>
    </w:p>
    <w:p>
      <w:pPr>
        <w:pStyle w:val="Compact"/>
        <w:numPr>
          <w:ilvl w:val="0"/>
          <w:numId w:val="1006"/>
        </w:numPr>
      </w:pPr>
      <w:r>
        <w:t xml:space="preserve">That is $2.30 a session at 5 a week over 5 years.</w:t>
      </w:r>
    </w:p>
    <w:p>
      <w:pPr>
        <w:pStyle w:val="Compact"/>
        <w:numPr>
          <w:ilvl w:val="0"/>
          <w:numId w:val="1006"/>
        </w:numPr>
      </w:pPr>
      <w:r>
        <w:t xml:space="preserve">90 percent of our customers run red light too. Different jobs, same routine.</w:t>
      </w:r>
    </w:p>
    <w:p>
      <w:pPr>
        <w:pStyle w:val="Compact"/>
        <w:numPr>
          <w:ilvl w:val="0"/>
          <w:numId w:val="1006"/>
        </w:numPr>
      </w:pPr>
      <w:r>
        <w:t xml:space="preserve">Sunlight. Evolved.</w:t>
      </w:r>
    </w:p>
    <w:bookmarkEnd w:id="23"/>
    <w:bookmarkStart w:id="24" w:name="objection-scripts-voiced"/>
    <w:p>
      <w:pPr>
        <w:pStyle w:val="Heading2"/>
      </w:pPr>
      <w:r>
        <w:t xml:space="preserve">7. Objection scripts (voiced)</w:t>
      </w:r>
    </w:p>
    <w:p>
      <w:pPr>
        <w:pStyle w:val="FirstParagraph"/>
      </w:pPr>
      <w:r>
        <w:rPr>
          <w:b/>
          <w:bCs/>
        </w:rPr>
        <w:t xml:space="preserve">Consumer</w:t>
      </w:r>
    </w:p>
    <w:p>
      <w:pPr>
        <w:pStyle w:val="Compact"/>
        <w:numPr>
          <w:ilvl w:val="0"/>
          <w:numId w:val="1007"/>
        </w:numPr>
      </w:pPr>
      <w:r>
        <w:t xml:space="preserve">Is this safe? Fair worry. Sunlight is about 95 percent UVA. We flipped it: over 90 percent UVB, under 10 percent UVA. The app reads your skin type, sets your personal dose, and ends the session for you. 25,000+ sessions in, zero burns, zero adverse events.</w:t>
      </w:r>
    </w:p>
    <w:p>
      <w:pPr>
        <w:pStyle w:val="Compact"/>
        <w:numPr>
          <w:ilvl w:val="0"/>
          <w:numId w:val="1007"/>
        </w:numPr>
      </w:pPr>
      <w:r>
        <w:t xml:space="preserve">I already take supplements. Supplements are one lane, Vitamin D, and only if your body responds to it. In the trials, about one in four participants were low responders to vitamin D supplementation. Enyrgy opens all three lanes, Vitamin D, nitric oxide, and serotonin, in 2 to 4 minutes.</w:t>
      </w:r>
    </w:p>
    <w:p>
      <w:pPr>
        <w:pStyle w:val="Compact"/>
        <w:numPr>
          <w:ilvl w:val="0"/>
          <w:numId w:val="1007"/>
        </w:numPr>
      </w:pPr>
      <w:r>
        <w:t xml:space="preserve">$2,995 is a lot. It reads big until you run it per use. $2.30 a session over 5 years at 5 a week. Supplements cost $600 to $1,200 a year with no promise your body uses them. Financing is there if you want it, and under 1 percent of people return it.</w:t>
      </w:r>
    </w:p>
    <w:p>
      <w:pPr>
        <w:pStyle w:val="Compact"/>
        <w:numPr>
          <w:ilvl w:val="0"/>
          <w:numId w:val="1007"/>
        </w:numPr>
      </w:pPr>
      <w:r>
        <w:t xml:space="preserve">I will just go outside. Going outside works if you have 2 to 4 hours of mid-day sun to spare, plus the UVA aging and skin risk that rides along. Enyrgy gets you there in 2 to 4 minutes, about 60x the efficiency, without the downside.</w:t>
      </w:r>
    </w:p>
    <w:p>
      <w:pPr>
        <w:pStyle w:val="Compact"/>
        <w:numPr>
          <w:ilvl w:val="0"/>
          <w:numId w:val="1007"/>
        </w:numPr>
      </w:pPr>
      <w:r>
        <w:t xml:space="preserve">What does the FDA say? It is a wellness device, not a medical one, and we make no medical claims. The results sit on peer-reviewed science, and our advisory board includes Dr. Bruce Hollis.</w:t>
      </w:r>
    </w:p>
    <w:p>
      <w:pPr>
        <w:pStyle w:val="FirstParagraph"/>
      </w:pPr>
      <w:r>
        <w:rPr>
          <w:b/>
          <w:bCs/>
        </w:rPr>
        <w:t xml:space="preserve">Commercial</w:t>
      </w:r>
    </w:p>
    <w:p>
      <w:pPr>
        <w:pStyle w:val="Compact"/>
        <w:numPr>
          <w:ilvl w:val="0"/>
          <w:numId w:val="1008"/>
        </w:numPr>
      </w:pPr>
      <w:r>
        <w:t xml:space="preserve">We already have red light. Ninety percent of our customers use both. They do different biological jobs, so this sits alongside what you already offer instead of replacing it.</w:t>
      </w:r>
    </w:p>
    <w:p>
      <w:pPr>
        <w:pStyle w:val="Compact"/>
        <w:numPr>
          <w:ilvl w:val="0"/>
          <w:numId w:val="1008"/>
        </w:numPr>
      </w:pPr>
      <w:r>
        <w:t xml:space="preserve">Would clients pay? Vitamin D runs low in 77 percent of indoor adults, so the demand is already in your book. Operators are charging $49 to $75 a month for it.</w:t>
      </w:r>
    </w:p>
    <w:p>
      <w:pPr>
        <w:pStyle w:val="Compact"/>
        <w:numPr>
          <w:ilvl w:val="0"/>
          <w:numId w:val="1008"/>
        </w:numPr>
      </w:pPr>
      <w:r>
        <w:t xml:space="preserve">Staff training? It is included, and light. The app calculates each client’s dose and runs the session itself.</w:t>
      </w:r>
    </w:p>
    <w:p>
      <w:pPr>
        <w:pStyle w:val="FirstParagraph"/>
      </w:pPr>
      <w:r>
        <w:rPr>
          <w:b/>
          <w:bCs/>
        </w:rPr>
        <w:t xml:space="preserve">Investor</w:t>
      </w:r>
    </w:p>
    <w:p>
      <w:pPr>
        <w:pStyle w:val="Compact"/>
        <w:numPr>
          <w:ilvl w:val="0"/>
          <w:numId w:val="1009"/>
        </w:numPr>
      </w:pPr>
      <w:r>
        <w:t xml:space="preserve">Where is the equity upside? There is a conversion option at a 20 percent discount to an independent SEC valuation.</w:t>
      </w:r>
    </w:p>
    <w:p>
      <w:pPr>
        <w:pStyle w:val="Compact"/>
        <w:numPr>
          <w:ilvl w:val="0"/>
          <w:numId w:val="1009"/>
        </w:numPr>
      </w:pPr>
      <w:r>
        <w:t xml:space="preserve">Is this a crowded market? It looks crowded until you line up the mechanisms. Nobody else delivers all three pathways. We are a category of one.</w:t>
      </w:r>
    </w:p>
    <w:p>
      <w:pPr>
        <w:pStyle w:val="Compact"/>
        <w:numPr>
          <w:ilvl w:val="0"/>
          <w:numId w:val="1009"/>
        </w:numPr>
      </w:pPr>
      <w:r>
        <w:t xml:space="preserve">What is the exit? A strategic acquisition in the $100 to 150M range within 5 years. Natural buyers look like Philips, Apple Health, Peloton, AG1, or LVMH.</w:t>
      </w:r>
    </w:p>
    <w:bookmarkEnd w:id="24"/>
    <w:bookmarkStart w:id="25" w:name="claim-precision-corrected"/>
    <w:p>
      <w:pPr>
        <w:pStyle w:val="Heading2"/>
      </w:pPr>
      <w:r>
        <w:t xml:space="preserve">8. Claim precision (corrected)</w:t>
      </w:r>
    </w:p>
    <w:p>
      <w:pPr>
        <w:pStyle w:val="FirstParagraph"/>
      </w:pPr>
      <w:r>
        <w:t xml:space="preserve">The</w:t>
      </w:r>
      <w:r>
        <w:t xml:space="preserve"> </w:t>
      </w:r>
      <w:r>
        <w:t xml:space="preserve">“one in four”</w:t>
      </w:r>
      <w:r>
        <w:t xml:space="preserve"> </w:t>
      </w:r>
      <w:r>
        <w:t xml:space="preserve">statistic is about RESPONSE, not absorption. Low responders absorb the pill fine; their cells do less with it. Approved wording only:</w:t>
      </w:r>
      <w:r>
        <w:t xml:space="preserve"> </w:t>
      </w:r>
      <w:r>
        <w:rPr>
          <w:b/>
          <w:bCs/>
        </w:rPr>
        <w:t xml:space="preserve">“in these trials, about one in four participants were low responders to vitamin D supplementation”</w:t>
      </w:r>
      <w:r>
        <w:t xml:space="preserve"> </w:t>
      </w:r>
      <w:r>
        <w:t xml:space="preserve">(Carlberg, VitDmet and VitDbol trials, Nutrients 2023, 15(15):3382). Never say</w:t>
      </w:r>
      <w:r>
        <w:t xml:space="preserve"> </w:t>
      </w:r>
      <w:r>
        <w:t xml:space="preserve">“one in four cannot absorb,”</w:t>
      </w:r>
      <w:r>
        <w:t xml:space="preserve"> </w:t>
      </w:r>
      <w:r>
        <w:t xml:space="preserve">“supplements fail one in four,”</w:t>
      </w:r>
      <w:r>
        <w:t xml:space="preserve"> </w:t>
      </w:r>
      <w:r>
        <w:t xml:space="preserve">or</w:t>
      </w:r>
      <w:r>
        <w:t xml:space="preserve"> </w:t>
      </w:r>
      <w:r>
        <w:t xml:space="preserve">“one in four Americans.”</w:t>
      </w:r>
      <w:r>
        <w:t xml:space="preserve"> </w:t>
      </w:r>
      <w:r>
        <w:t xml:space="preserve">This supersedes the older phrasing in Implementation Guide v3.9 Section 22 (Session 8 correction). Every claim must be exactly as verifiable as stated: no superlatives, no inflation, no unverifiable characterizations.</w:t>
      </w:r>
    </w:p>
    <w:bookmarkEnd w:id="25"/>
    <w:bookmarkStart w:id="26" w:name="brand-constants-locked"/>
    <w:p>
      <w:pPr>
        <w:pStyle w:val="Heading2"/>
      </w:pPr>
      <w:r>
        <w:t xml:space="preserve">9. Brand constants (locked)</w:t>
      </w:r>
    </w:p>
    <w:p>
      <w:pPr>
        <w:pStyle w:val="Compact"/>
        <w:numPr>
          <w:ilvl w:val="0"/>
          <w:numId w:val="1010"/>
        </w:numPr>
      </w:pPr>
      <w:r>
        <w:t xml:space="preserve">Accent: Sunrise Orange #E64C38 only. No violet, purple, or amber.</w:t>
      </w:r>
    </w:p>
    <w:p>
      <w:pPr>
        <w:pStyle w:val="Compact"/>
        <w:numPr>
          <w:ilvl w:val="0"/>
          <w:numId w:val="1010"/>
        </w:numPr>
      </w:pPr>
      <w:r>
        <w:t xml:space="preserve">Typography: Montserrat, all weights.</w:t>
      </w:r>
    </w:p>
    <w:p>
      <w:pPr>
        <w:pStyle w:val="Compact"/>
        <w:numPr>
          <w:ilvl w:val="0"/>
          <w:numId w:val="1010"/>
        </w:numPr>
      </w:pPr>
      <w:r>
        <w:t xml:space="preserve">Text: Deep Charcoal #1A1A1A. Panels: Warm Off-White #F7F4EE, Calm Beige #ECE4CF. Line #E2DBC9. Muted #6B6B66.</w:t>
      </w:r>
    </w:p>
    <w:p>
      <w:pPr>
        <w:pStyle w:val="Compact"/>
        <w:numPr>
          <w:ilvl w:val="0"/>
          <w:numId w:val="1010"/>
        </w:numPr>
      </w:pPr>
      <w:r>
        <w:t xml:space="preserve">Tagline:</w:t>
      </w:r>
      <w:r>
        <w:t xml:space="preserve"> </w:t>
      </w:r>
      <w:r>
        <w:t xml:space="preserve">“Sunlight. Evolved.”</w:t>
      </w:r>
    </w:p>
    <w:p>
      <w:pPr>
        <w:pStyle w:val="Compact"/>
        <w:numPr>
          <w:ilvl w:val="0"/>
          <w:numId w:val="1010"/>
        </w:numPr>
      </w:pPr>
      <w:r>
        <w:t xml:space="preserve">Voice: peer-to-peer, founder-to-peer. No em-dashes ever; use a comma, period, or rewrite. No icons or decorative glyphs.</w:t>
      </w:r>
    </w:p>
    <w:p>
      <w:pPr>
        <w:pStyle w:val="Compact"/>
        <w:numPr>
          <w:ilvl w:val="0"/>
          <w:numId w:val="1010"/>
        </w:numPr>
      </w:pPr>
      <w:r>
        <w:t xml:space="preserve">Age minimum for all audiences: 18.</w:t>
      </w:r>
    </w:p>
    <w:bookmarkEnd w:id="26"/>
    <w:bookmarkStart w:id="27" w:name="X29fd5ad5ba47d28e168b82835ce779321403abb"/>
    <w:p>
      <w:pPr>
        <w:pStyle w:val="Heading2"/>
      </w:pPr>
      <w:r>
        <w:t xml:space="preserve">10. Nitric oxide framing (enforce on every asset)</w:t>
      </w:r>
    </w:p>
    <w:p>
      <w:pPr>
        <w:pStyle w:val="FirstParagraph"/>
      </w:pPr>
      <w:r>
        <w:t xml:space="preserve">Supplements feed the enzymatic route (substrate to eNOS to NO). UVA triggers enzyme-independent photorelease of NO from preformed skin stores (nitrite and nitrosothiols). The light pathway is additive, one a capsule cannot open. The claim</w:t>
      </w:r>
      <w:r>
        <w:t xml:space="preserve"> </w:t>
      </w:r>
      <w:r>
        <w:t xml:space="preserve">“no supplement produces nitric oxide”</w:t>
      </w:r>
      <w:r>
        <w:t xml:space="preserve"> </w:t>
      </w:r>
      <w:r>
        <w:t xml:space="preserve">is false framing and must never be used.</w:t>
      </w:r>
    </w:p>
    <w:bookmarkEnd w:id="27"/>
    <w:bookmarkStart w:id="28" w:name="prohibited-words-compliance"/>
    <w:p>
      <w:pPr>
        <w:pStyle w:val="Heading2"/>
      </w:pPr>
      <w:r>
        <w:t xml:space="preserve">11. Prohibited words (compliance)</w:t>
      </w:r>
    </w:p>
    <w:p>
      <w:pPr>
        <w:pStyle w:val="FirstParagraph"/>
      </w:pPr>
      <w:r>
        <w:t xml:space="preserve">Never use in client-facing content: treat, cure, diagnose, disease, prescription, FDA-approved, medical treatment, heal, fix, medication, illness, clinical diagnosis, therapeutic treatment. Review all client-facing content against the January 2026 FDA Guidelines for Wellness Products before use. Enyrgy is a wellness device, not medical, and makes no medical claims.</w:t>
      </w:r>
    </w:p>
    <w:bookmarkEnd w:id="28"/>
    <w:bookmarkStart w:id="29" w:name="X3b2ee3b0312272551b8ea402502772f453681e0"/>
    <w:p>
      <w:pPr>
        <w:pStyle w:val="Heading2"/>
      </w:pPr>
      <w:r>
        <w:t xml:space="preserve">12. Attorney-confirmed compliance rule (verbatim, non-negotiable)</w:t>
      </w:r>
    </w:p>
    <w:p>
      <w:pPr>
        <w:pStyle w:val="BlockText"/>
      </w:pPr>
      <w:r>
        <w:t xml:space="preserve">The PPM may be sent to any interested investor after the intro meeting. Accreditation is NOT required before sending the PPM. Confirmed compliant per Enyrgy’s securities attorney.</w:t>
      </w:r>
    </w:p>
    <w:p>
      <w:pPr>
        <w:pStyle w:val="BlockText"/>
      </w:pPr>
      <w:r>
        <w:t xml:space="preserve">The subscription agreement and term sheet are pre-acceptance documents and may also be sent before accreditation is confirmed. Accreditation is NOT required to send them.</w:t>
      </w:r>
    </w:p>
    <w:p>
      <w:pPr>
        <w:pStyle w:val="BlockText"/>
      </w:pPr>
      <w:r>
        <w:t xml:space="preserve">Accreditation (</w:t>
      </w:r>
      <w:r>
        <w:rPr>
          <w:rStyle w:val="VerbatimChar"/>
        </w:rPr>
        <w:t xml:space="preserve">accredited_verified</w:t>
      </w:r>
      <w:r>
        <w:t xml:space="preserve"> </w:t>
      </w:r>
      <w:r>
        <w:t xml:space="preserve">= Yes) IS required only before: wire instructions, or accepting any investment (the points where funds change hands). No exceptions.</w:t>
      </w:r>
    </w:p>
    <w:p>
      <w:pPr>
        <w:pStyle w:val="FirstParagraph"/>
      </w:pPr>
      <w:r>
        <w:t xml:space="preserve">The prohibited-words scan runs before every email, SMS, and voicemail across all funnels. All investor materials must be attorney-approved before they load into the KB or GHL. The PPM is attorney-approved and may be sent after the intro meeting.</w:t>
      </w:r>
    </w:p>
    <w:bookmarkEnd w:id="29"/>
    <w:bookmarkStart w:id="30" w:name="investor-offering-details"/>
    <w:p>
      <w:pPr>
        <w:pStyle w:val="Heading2"/>
      </w:pPr>
      <w:r>
        <w:t xml:space="preserve">13. Investor offering details</w:t>
      </w:r>
    </w:p>
    <w:p>
      <w:pPr>
        <w:pStyle w:val="Compact"/>
        <w:numPr>
          <w:ilvl w:val="0"/>
          <w:numId w:val="1011"/>
        </w:numPr>
      </w:pPr>
      <w:r>
        <w:t xml:space="preserve">Structure: Private Credit, Promissory Note.</w:t>
      </w:r>
    </w:p>
    <w:p>
      <w:pPr>
        <w:pStyle w:val="Compact"/>
        <w:numPr>
          <w:ilvl w:val="0"/>
          <w:numId w:val="1011"/>
        </w:numPr>
      </w:pPr>
      <w:r>
        <w:t xml:space="preserve">Total raise: $3.5M. Minimum: $50,000. Return: 12 percent per annum. Term: 3 years.</w:t>
      </w:r>
    </w:p>
    <w:p>
      <w:pPr>
        <w:pStyle w:val="Compact"/>
        <w:numPr>
          <w:ilvl w:val="0"/>
          <w:numId w:val="1011"/>
        </w:numPr>
      </w:pPr>
      <w:r>
        <w:t xml:space="preserve">Interest paid quarterly (postponed the first 3 months).</w:t>
      </w:r>
    </w:p>
    <w:p>
      <w:pPr>
        <w:pStyle w:val="Compact"/>
        <w:numPr>
          <w:ilvl w:val="0"/>
          <w:numId w:val="1011"/>
        </w:numPr>
      </w:pPr>
      <w:r>
        <w:t xml:space="preserve">Conversion option: at investor discretion, 20 percent discount from an independent SEC valuation.</w:t>
      </w:r>
    </w:p>
    <w:p>
      <w:pPr>
        <w:pStyle w:val="Compact"/>
        <w:numPr>
          <w:ilvl w:val="0"/>
          <w:numId w:val="1011"/>
        </w:numPr>
      </w:pPr>
      <w:r>
        <w:t xml:space="preserve">Exit target: $100 to 150M in 5 years.</w:t>
      </w:r>
    </w:p>
    <w:p>
      <w:pPr>
        <w:pStyle w:val="Compact"/>
        <w:numPr>
          <w:ilvl w:val="0"/>
          <w:numId w:val="1011"/>
        </w:numPr>
      </w:pPr>
      <w:r>
        <w:t xml:space="preserve">Delivery order: PPM, subscription agreement, and term sheet may all be shared pre-acceptance (PPM after the intro meeting). Wire instructions and acceptance of any investment shared only after</w:t>
      </w:r>
      <w:r>
        <w:t xml:space="preserve"> </w:t>
      </w:r>
      <w:r>
        <w:rPr>
          <w:rStyle w:val="VerbatimChar"/>
        </w:rPr>
        <w:t xml:space="preserve">accredited_verified</w:t>
      </w:r>
      <w:r>
        <w:t xml:space="preserve"> </w:t>
      </w:r>
      <w:r>
        <w:t xml:space="preserve">= Yes is confirmed (see the rule in section 12).</w:t>
      </w:r>
    </w:p>
    <w:bookmarkEnd w:id="30"/>
    <w:bookmarkStart w:id="31" w:name="oem-partner-lumanova-luma-d-light"/>
    <w:p>
      <w:pPr>
        <w:pStyle w:val="Heading2"/>
      </w:pPr>
      <w:r>
        <w:t xml:space="preserve">14. OEM partner (Lumanova / Luma D Light)</w:t>
      </w:r>
    </w:p>
    <w:p>
      <w:pPr>
        <w:pStyle w:val="Compact"/>
        <w:numPr>
          <w:ilvl w:val="0"/>
          <w:numId w:val="1012"/>
        </w:numPr>
      </w:pPr>
      <w:r>
        <w:t xml:space="preserve">Partner: Lumanova. Product brand: Luma D Light. Pricing: same MSRP ($2,995 / $8,950).</w:t>
      </w:r>
    </w:p>
    <w:p>
      <w:pPr>
        <w:pStyle w:val="Compact"/>
        <w:numPr>
          <w:ilvl w:val="0"/>
          <w:numId w:val="1012"/>
        </w:numPr>
      </w:pPr>
      <w:r>
        <w:t xml:space="preserve">Arrangement: OEM white-label; Lumanova sells under their brand, Enyrgy manufactures. Exclusivity: Black Unit.</w:t>
      </w:r>
    </w:p>
    <w:p>
      <w:pPr>
        <w:pStyle w:val="Compact"/>
        <w:numPr>
          <w:ilvl w:val="0"/>
          <w:numId w:val="1012"/>
        </w:numPr>
      </w:pPr>
      <w:r>
        <w:t xml:space="preserve">GHL tags:</w:t>
      </w:r>
      <w:r>
        <w:t xml:space="preserve"> </w:t>
      </w:r>
      <w:r>
        <w:rPr>
          <w:rStyle w:val="VerbatimChar"/>
        </w:rPr>
        <w:t xml:space="preserve">type_partner</w:t>
      </w:r>
      <w:r>
        <w:t xml:space="preserve"> </w:t>
      </w:r>
      <w:r>
        <w:t xml:space="preserve">+</w:t>
      </w:r>
      <w:r>
        <w:t xml:space="preserve"> </w:t>
      </w:r>
      <w:r>
        <w:rPr>
          <w:rStyle w:val="VerbatimChar"/>
        </w:rPr>
        <w:t xml:space="preserve">source_oem_lumanova</w:t>
      </w:r>
      <w:r>
        <w:t xml:space="preserve"> </w:t>
      </w:r>
      <w:r>
        <w:t xml:space="preserve">+</w:t>
      </w:r>
      <w:r>
        <w:t xml:space="preserve"> </w:t>
      </w:r>
      <w:r>
        <w:rPr>
          <w:rStyle w:val="VerbatimChar"/>
        </w:rPr>
        <w:t xml:space="preserve">partnership_status active</w:t>
      </w:r>
      <w:r>
        <w:t xml:space="preserve">.</w:t>
      </w:r>
    </w:p>
    <w:p>
      <w:pPr>
        <w:pStyle w:val="Compact"/>
        <w:numPr>
          <w:ilvl w:val="0"/>
          <w:numId w:val="1012"/>
        </w:numPr>
      </w:pPr>
      <w:r>
        <w:t xml:space="preserve">Any OEM matter escalates through the CEO to the human founders.</w:t>
      </w:r>
    </w:p>
    <w:p>
      <w:pPr>
        <w:pStyle w:val="Compact"/>
        <w:numPr>
          <w:ilvl w:val="0"/>
          <w:numId w:val="1012"/>
        </w:numPr>
      </w:pPr>
      <w:r>
        <w:t xml:space="preserve">Partner arrangements offered: Enyrgy offers both white-label (a partner sells the platform under their own brand, as Lumanova does) and distribution (a partner distributes to other facilities). Both are real, offered arrangements. Specific terms are handled per deal; confirm with the CEO before quoting figures.</w:t>
      </w:r>
    </w:p>
    <w:bookmarkEnd w:id="31"/>
    <w:bookmarkStart w:id="32" w:name="key-reference-facts-quick-lookup"/>
    <w:p>
      <w:pPr>
        <w:pStyle w:val="Heading2"/>
      </w:pPr>
      <w:r>
        <w:t xml:space="preserve">15. Key reference facts (quick lookup)</w:t>
      </w:r>
    </w:p>
    <w:tbl>
      <w:tblPr>
        <w:tblStyle w:val="Table"/>
        <w:tblW w:type="pct" w:w="5000"/>
        <w:tblLayout w:type="fixed"/>
        <w:tblLook w:firstRow="1" w:lastRow="0" w:firstColumn="0" w:lastColumn="0" w:noHBand="0" w:noVBand="0" w:val="0020"/>
      </w:tblPr>
      <w:tblGrid>
        <w:gridCol w:w="5002"/>
        <w:gridCol w:w="2917"/>
      </w:tblGrid>
      <w:tr>
        <w:trPr>
          <w:tblHeader w:val="on"/>
        </w:trPr>
        <w:tc>
          <w:tcPr/>
          <w:p>
            <w:pPr>
              <w:pStyle w:val="Compact"/>
            </w:pPr>
            <w:r>
              <w:t xml:space="preserve">Data point</w:t>
            </w:r>
          </w:p>
        </w:tc>
        <w:tc>
          <w:tcPr/>
          <w:p>
            <w:pPr>
              <w:pStyle w:val="Compact"/>
            </w:pPr>
            <w:r>
              <w:t xml:space="preserve">Value</w:t>
            </w:r>
          </w:p>
        </w:tc>
      </w:tr>
      <w:tr>
        <w:tc>
          <w:tcPr/>
          <w:p>
            <w:pPr>
              <w:pStyle w:val="Compact"/>
            </w:pPr>
            <w:r>
              <w:t xml:space="preserve">Consumer Unit MSRP</w:t>
            </w:r>
          </w:p>
        </w:tc>
        <w:tc>
          <w:tcPr/>
          <w:p>
            <w:pPr>
              <w:pStyle w:val="Compact"/>
            </w:pPr>
            <w:r>
              <w:t xml:space="preserve">$2,995 (66 percent margin)</w:t>
            </w:r>
          </w:p>
        </w:tc>
      </w:tr>
      <w:tr>
        <w:tc>
          <w:tcPr/>
          <w:p>
            <w:pPr>
              <w:pStyle w:val="Compact"/>
            </w:pPr>
            <w:r>
              <w:t xml:space="preserve">Commercial Unit MSRP</w:t>
            </w:r>
          </w:p>
        </w:tc>
        <w:tc>
          <w:tcPr/>
          <w:p>
            <w:pPr>
              <w:pStyle w:val="Compact"/>
            </w:pPr>
            <w:r>
              <w:t xml:space="preserve">$8,950 (78 percent margin)</w:t>
            </w:r>
          </w:p>
        </w:tc>
      </w:tr>
      <w:tr>
        <w:tc>
          <w:tcPr/>
          <w:p>
            <w:pPr>
              <w:pStyle w:val="Compact"/>
            </w:pPr>
            <w:r>
              <w:t xml:space="preserve">Per-session cost</w:t>
            </w:r>
          </w:p>
        </w:tc>
        <w:tc>
          <w:tcPr/>
          <w:p>
            <w:pPr>
              <w:pStyle w:val="Compact"/>
            </w:pPr>
            <w:r>
              <w:t xml:space="preserve">$2.30 (5x per week, 5 years)</w:t>
            </w:r>
          </w:p>
        </w:tc>
      </w:tr>
      <w:tr>
        <w:tc>
          <w:tcPr/>
          <w:p>
            <w:pPr>
              <w:pStyle w:val="Compact"/>
            </w:pPr>
            <w:r>
              <w:t xml:space="preserve">Treatments completed</w:t>
            </w:r>
          </w:p>
        </w:tc>
        <w:tc>
          <w:tcPr/>
          <w:p>
            <w:pPr>
              <w:pStyle w:val="Compact"/>
            </w:pPr>
            <w:r>
              <w:t xml:space="preserve">25,000+ (zero adverse events)</w:t>
            </w:r>
          </w:p>
        </w:tc>
      </w:tr>
      <w:tr>
        <w:tc>
          <w:tcPr/>
          <w:p>
            <w:pPr>
              <w:pStyle w:val="Compact"/>
            </w:pPr>
            <w:r>
              <w:t xml:space="preserve">Customers</w:t>
            </w:r>
          </w:p>
        </w:tc>
        <w:tc>
          <w:tcPr/>
          <w:p>
            <w:pPr>
              <w:pStyle w:val="Compact"/>
            </w:pPr>
            <w:r>
              <w:t xml:space="preserve">600+ across 5 countries</w:t>
            </w:r>
          </w:p>
        </w:tc>
      </w:tr>
      <w:tr>
        <w:tc>
          <w:tcPr/>
          <w:p>
            <w:pPr>
              <w:pStyle w:val="Compact"/>
            </w:pPr>
            <w:r>
              <w:t xml:space="preserve">Return rate</w:t>
            </w:r>
          </w:p>
        </w:tc>
        <w:tc>
          <w:tcPr/>
          <w:p>
            <w:pPr>
              <w:pStyle w:val="Compact"/>
            </w:pPr>
            <w:r>
              <w:t xml:space="preserve">under 1 percent</w:t>
            </w:r>
          </w:p>
        </w:tc>
      </w:tr>
      <w:tr>
        <w:tc>
          <w:tcPr/>
          <w:p>
            <w:pPr>
              <w:pStyle w:val="Compact"/>
            </w:pPr>
            <w:r>
              <w:t xml:space="preserve">Clinical result</w:t>
            </w:r>
          </w:p>
        </w:tc>
        <w:tc>
          <w:tcPr/>
          <w:p>
            <w:pPr>
              <w:pStyle w:val="Compact"/>
            </w:pPr>
            <w:r>
              <w:t xml:space="preserve">+111 percent Vitamin D; 100 percent reached optimal</w:t>
            </w:r>
          </w:p>
        </w:tc>
      </w:tr>
      <w:tr>
        <w:tc>
          <w:tcPr/>
          <w:p>
            <w:pPr>
              <w:pStyle w:val="Compact"/>
            </w:pPr>
            <w:r>
              <w:t xml:space="preserve">Efficiency vs sunlight</w:t>
            </w:r>
          </w:p>
        </w:tc>
        <w:tc>
          <w:tcPr/>
          <w:p>
            <w:pPr>
              <w:pStyle w:val="Compact"/>
            </w:pPr>
            <w:r>
              <w:t xml:space="preserve">2.4x; 2 to 4 min equals 2 to 4 hours (about 60x)</w:t>
            </w:r>
          </w:p>
        </w:tc>
      </w:tr>
      <w:tr>
        <w:tc>
          <w:tcPr/>
          <w:p>
            <w:pPr>
              <w:pStyle w:val="Compact"/>
            </w:pPr>
            <w:r>
              <w:t xml:space="preserve">Red light co-use</w:t>
            </w:r>
          </w:p>
        </w:tc>
        <w:tc>
          <w:tcPr/>
          <w:p>
            <w:pPr>
              <w:pStyle w:val="Compact"/>
            </w:pPr>
            <w:r>
              <w:t xml:space="preserve">90 percent of customers</w:t>
            </w:r>
          </w:p>
        </w:tc>
      </w:tr>
      <w:tr>
        <w:tc>
          <w:tcPr/>
          <w:p>
            <w:pPr>
              <w:pStyle w:val="Compact"/>
            </w:pPr>
            <w:r>
              <w:t xml:space="preserve">Referral</w:t>
            </w:r>
          </w:p>
        </w:tc>
        <w:tc>
          <w:tcPr/>
          <w:p>
            <w:pPr>
              <w:pStyle w:val="Compact"/>
            </w:pPr>
            <w:r>
              <w:t xml:space="preserve">$150 off referee / $100 credit referrer</w:t>
            </w:r>
          </w:p>
        </w:tc>
      </w:tr>
      <w:tr>
        <w:tc>
          <w:tcPr/>
          <w:p>
            <w:pPr>
              <w:pStyle w:val="Compact"/>
            </w:pPr>
            <w:r>
              <w:t xml:space="preserve">Investor offering</w:t>
            </w:r>
          </w:p>
        </w:tc>
        <w:tc>
          <w:tcPr/>
          <w:p>
            <w:pPr>
              <w:pStyle w:val="Compact"/>
            </w:pPr>
            <w:r>
              <w:t xml:space="preserve">$3.5M at 12 percent / 3yr, $50K minimum</w:t>
            </w:r>
          </w:p>
        </w:tc>
      </w:tr>
      <w:tr>
        <w:tc>
          <w:tcPr/>
          <w:p>
            <w:pPr>
              <w:pStyle w:val="Compact"/>
            </w:pPr>
            <w:r>
              <w:t xml:space="preserve">Exit target</w:t>
            </w:r>
          </w:p>
        </w:tc>
        <w:tc>
          <w:tcPr/>
          <w:p>
            <w:pPr>
              <w:pStyle w:val="Compact"/>
            </w:pPr>
            <w:r>
              <w:t xml:space="preserve">$100 to 150M in 5 years</w:t>
            </w:r>
          </w:p>
        </w:tc>
      </w:tr>
      <w:tr>
        <w:tc>
          <w:tcPr/>
          <w:p>
            <w:pPr>
              <w:pStyle w:val="Compact"/>
            </w:pPr>
            <w:r>
              <w:t xml:space="preserve">Facility</w:t>
            </w:r>
          </w:p>
        </w:tc>
        <w:tc>
          <w:tcPr/>
          <w:p>
            <w:pPr>
              <w:pStyle w:val="Compact"/>
            </w:pPr>
            <w:r>
              <w:t xml:space="preserve">5115 N 27th Ave, Bld 66, Phoenix, AZ 85017, Made in USA</w:t>
            </w:r>
          </w:p>
        </w:tc>
      </w:tr>
      <w:tr>
        <w:tc>
          <w:tcPr/>
          <w:p>
            <w:pPr>
              <w:pStyle w:val="Compact"/>
            </w:pPr>
            <w:r>
              <w:t xml:space="preserve">Commercial model</w:t>
            </w:r>
          </w:p>
        </w:tc>
        <w:tc>
          <w:tcPr/>
          <w:p>
            <w:pPr>
              <w:pStyle w:val="Compact"/>
            </w:pPr>
            <w:r>
              <w:t xml:space="preserve">$49/month modality add-on per client; payback under 4 months at 50 clients</w:t>
            </w:r>
          </w:p>
        </w:tc>
      </w:tr>
    </w:tbl>
    <w:p>
      <w:r>
        <w:pict>
          <v:rect style="width:0;height:1.5pt" o:hralign="center" o:hrstd="t" o:hr="t"/>
        </w:pict>
      </w:r>
    </w:p>
    <w:p>
      <w:pPr>
        <w:pStyle w:val="FirstParagraph"/>
      </w:pPr>
      <w:r>
        <w:rPr>
          <w:i/>
          <w:iCs/>
        </w:rPr>
        <w:t xml:space="preserve">CONFIDENTIAL - Enyrgy Inc - 5115 N 27th Ave, Bld 66, Phoenix, AZ 85017 - enyrgy.com - Sunlight. Evolved.</w:t>
      </w:r>
    </w:p>
    <w:bookmarkEnd w:id="32"/>
    <w:bookmarkEnd w:id="33"/>
    <w:sectPr>
      <w:pgSz w:h="15840" w:orient="portrait" w:w="12240"/>
      <w:pgMar w:bottom="1440" w:footer="708" w:gutter="0" w:header="708" w:left="1440" w:right="1440" w:top="1440"/>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ontserrat" w:cs="Montserrat" w:eastAsia="Montserrat" w:hAnsi="Montserrat"/>
        <w:color w:val="6B6B66"/>
        <w:sz w:val="16"/>
        <w:szCs w:val="16"/>
      </w:rPr>
      <w:fldChar w:fldCharType="begin"/>
      <w:instrText xml:space="preserve">PAGE</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64C38" w:sz="8"/>
      </w:pBdr>
      <w:spacing w:after="120"/>
      <w:jc w:val="left"/>
    </w:pPr>
    <w:r>
      <w:rPr>
        <w:rFonts w:ascii="Montserrat" w:cs="Montserrat" w:eastAsia="Montserrat" w:hAnsi="Montserrat"/>
        <w:b/>
        <w:bCs/>
        <w:color w:val="E64C38"/>
        <w:sz w:val="16"/>
        <w:szCs w:val="16"/>
      </w:rPr>
      <w:t xml:space="preserve">Enyrgy Knowledge Base</w:t>
    </w:r>
  </w:p>
</w:hdr>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lvlOverride w:ilvl="0">
      <w:startOverride w:val="1"/>
    </w:lvlOverride>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evenAndOddHeaders w:val="fals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ontserrat" w:cs="Montserrat" w:eastAsia="Montserrat" w:hAnsi="Montserrat"/>
        <w:color w:val="1A1A1A"/>
        <w:sz w:val="21"/>
        <w:szCs w:val="21"/>
      </w:rPr>
    </w:rPrDefault>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styleId="Table" w:type="table">
    <w:name w:val="Table"/>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7" Target="header1.xml" Type="http://schemas.openxmlformats.org/officeDocument/2006/relationships/header" /><Relationship Id="rId8" Target="footer1.xml" Type="http://schemas.openxmlformats.org/officeDocument/2006/relationships/footer" /></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2026-07-26T22:36:31Z</dcterms:created>
  <dcterms:modified xsi:type="dcterms:W3CDTF">2026-07-26T22:36:31Z</dcterms:modified>
</cp:coreProperties>
</file>

<file path=docProps/custom.xml><?xml version="1.0" encoding="utf-8"?>
<Properties xmlns="http://schemas.openxmlformats.org/officeDocument/2006/custom-properties" xmlns:vt="http://schemas.openxmlformats.org/officeDocument/2006/docPropsVTypes"/>
</file>