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f-13-tired-test-emails"/>
    <w:p>
      <w:pPr>
        <w:pStyle w:val="Heading1"/>
      </w:pPr>
      <w:r>
        <w:t xml:space="preserve">WF-13 Tired Test Emails</w:t>
      </w:r>
    </w:p>
    <w:p>
      <w:pPr>
        <w:pStyle w:val="FirstParagraph"/>
      </w:pPr>
      <w:r>
        <w:rPr>
          <w:b/>
          <w:bCs/>
        </w:rPr>
        <w:t xml:space="preserve">Trigger:</w:t>
      </w:r>
      <w:r>
        <w:t xml:space="preserve"> </w:t>
      </w:r>
      <w:r>
        <w:t xml:space="preserve">enrolled by WF-12 Tired Test Capture</w:t>
      </w:r>
      <w:r>
        <w:t xml:space="preserve"> </w:t>
      </w:r>
      <w:r>
        <w:rPr>
          <w:b/>
          <w:bCs/>
        </w:rPr>
        <w:t xml:space="preserve">Touches:</w:t>
      </w:r>
      <w:r>
        <w:t xml:space="preserve"> </w:t>
      </w:r>
      <w:r>
        <w:t xml:space="preserve">5 emails over 14 days</w:t>
      </w:r>
      <w:r>
        <w:t xml:space="preserve"> </w:t>
      </w:r>
      <w:r>
        <w:rPr>
          <w:b/>
          <w:bCs/>
        </w:rPr>
        <w:t xml:space="preserve">Ends with:</w:t>
      </w:r>
      <w:r>
        <w:t xml:space="preserve"> </w:t>
      </w:r>
      <w:r>
        <w:rPr>
          <w:rStyle w:val="VerbatimChar"/>
        </w:rPr>
        <w:t xml:space="preserve">nurture_longterm</w:t>
      </w:r>
      <w:r>
        <w:t xml:space="preserve">, which hands the contact to WF-17</w:t>
      </w:r>
      <w:r>
        <w:t xml:space="preserve"> </w:t>
      </w:r>
      <w:r>
        <w:rPr>
          <w:b/>
          <w:bCs/>
        </w:rPr>
        <w:t xml:space="preserve">Audience:</w:t>
      </w:r>
      <w:r>
        <w:t xml:space="preserve"> </w:t>
      </w:r>
      <w:r>
        <w:t xml:space="preserve">consumers who completed the Tired Test quiz. Highest-volume entry point in the funnel, and the sequence FlexOffers affiliate traffic lands in from August 5, 2026.</w:t>
      </w:r>
      <w:r>
        <w:t xml:space="preserve"> </w:t>
      </w:r>
      <w:r>
        <w:rPr>
          <w:b/>
          <w:bCs/>
        </w:rPr>
        <w:t xml:space="preserve">Captured:</w:t>
      </w:r>
      <w:r>
        <w:t xml:space="preserve"> </w:t>
      </w:r>
      <w:r>
        <w:t xml:space="preserve">2026-08-02, complete, with three corrections applied the same day.</w:t>
      </w:r>
    </w:p>
    <w:p>
      <w:r>
        <w:pict>
          <v:rect style="width:0;height:1.5pt" o:hralign="center" o:hrstd="t" o:hr="t"/>
        </w:pict>
      </w:r>
    </w:p>
    <w:bookmarkStart w:id="19" w:name="touch-1-day-1-email"/>
    <w:p>
      <w:pPr>
        <w:pStyle w:val="Heading2"/>
      </w:pPr>
      <w:r>
        <w:t xml:space="preserve">Touch 1 | Day 1 | Email</w:t>
      </w:r>
    </w:p>
    <w:p>
      <w:pPr>
        <w:pStyle w:val="FirstParagraph"/>
      </w:pPr>
      <w:r>
        <w:rPr>
          <w:b/>
          <w:bCs/>
        </w:rPr>
        <w:t xml:space="preserve">Subject:</w:t>
      </w:r>
      <w:r>
        <w:t xml:space="preserve"> </w:t>
      </w:r>
      <w:r>
        <w:t xml:space="preserve">Your Tired Test result, and the thing nobody checks</w:t>
      </w:r>
    </w:p>
    <w:p>
      <w:pPr>
        <w:pStyle w:val="BodyText"/>
      </w:pPr>
      <w:r>
        <w:rPr>
          <w:b/>
          <w:bCs/>
        </w:rPr>
        <w:t xml:space="preserve">Body:</w:t>
      </w:r>
    </w:p>
    <w:p>
      <w:pPr>
        <w:pStyle w:val="SourceCode"/>
      </w:pPr>
      <w:r>
        <w:rPr>
          <w:rStyle w:val="VerbatimChar"/>
        </w:rPr>
        <w:t xml:space="preserve">You took the test, so you already know the pattern. Eight hours down, and you wake up like you fought the mattress all night. By 2pm you are running on coffee and willpower. You have started calling it normal, because it has been this way long enough to feel like just who you are now.</w:t>
      </w:r>
      <w:r>
        <w:br/>
      </w:r>
      <w:r>
        <w:br/>
      </w:r>
      <w:r>
        <w:rPr>
          <w:rStyle w:val="VerbatimChar"/>
        </w:rPr>
        <w:t xml:space="preserve">It might not be who you are. It might be an input you are missing.</w:t>
      </w:r>
      <w:r>
        <w:br/>
      </w:r>
      <w:r>
        <w:br/>
      </w:r>
      <w:r>
        <w:rPr>
          <w:rStyle w:val="VerbatimChar"/>
        </w:rPr>
        <w:t xml:space="preserve">Here is the one almost nobody checks. Your skin is not just a wrapper. It is an organ that runs chemistry when the right light hits it. Specific wavelengths, the kind in real midday sun, set off processes your body depends on. That is not a wellness slogan, it is biology that has been studied for decades.</w:t>
      </w:r>
      <w:r>
        <w:br/>
      </w:r>
      <w:r>
        <w:br/>
      </w:r>
      <w:r>
        <w:rPr>
          <w:rStyle w:val="VerbatimChar"/>
        </w:rPr>
        <w:t xml:space="preserve">Now look at a normal week. Wake up indoors, commute, work under a roof, home after dark for a good part of the year. Your skin can go days without the light that runs any of it. Nobody flags this at a checkup. Not your sleep schedule, not your magnesium, not your screen time. The light input your body was built around, and quietly stopped getting.</w:t>
      </w:r>
      <w:r>
        <w:br/>
      </w:r>
      <w:r>
        <w:br/>
      </w:r>
      <w:r>
        <w:rPr>
          <w:rStyle w:val="VerbatimChar"/>
        </w:rPr>
        <w:t xml:space="preserve">The next email is about why your vitamin D supplement does not fix this, even when your levels look fine on paper. That part tends to surprise people.</w:t>
      </w:r>
      <w:r>
        <w:br/>
      </w:r>
      <w:r>
        <w:br/>
      </w:r>
      <w:r>
        <w:rPr>
          <w:rStyle w:val="VerbatimChar"/>
        </w:rPr>
        <w:t xml:space="preserve">{{custom_values.standard_signature}}</w:t>
      </w:r>
    </w:p>
    <w:p>
      <w:pPr>
        <w:pStyle w:val="FirstParagraph"/>
      </w:pPr>
      <w:r>
        <w:rPr>
          <w:b/>
          <w:bCs/>
        </w:rPr>
        <w:t xml:space="preserve">Note:</w:t>
      </w:r>
      <w:r>
        <w:t xml:space="preserve"> </w:t>
      </w:r>
      <w:r>
        <w:t xml:space="preserve">opens on the reader’s own quiz result rather than on the product. No pitch, no link.</w:t>
      </w:r>
    </w:p>
    <w:p>
      <w:r>
        <w:pict>
          <v:rect style="width:0;height:1.5pt" o:hralign="center" o:hrstd="t" o:hr="t"/>
        </w:pict>
      </w:r>
    </w:p>
    <w:bookmarkEnd w:id="19"/>
    <w:bookmarkStart w:id="20" w:name="touch-2-day-4-email"/>
    <w:p>
      <w:pPr>
        <w:pStyle w:val="Heading2"/>
      </w:pPr>
      <w:r>
        <w:t xml:space="preserve">Touch 2 | Day 4 | Email</w:t>
      </w:r>
    </w:p>
    <w:p>
      <w:pPr>
        <w:pStyle w:val="FirstParagraph"/>
      </w:pPr>
      <w:r>
        <w:rPr>
          <w:b/>
          <w:bCs/>
        </w:rPr>
        <w:t xml:space="preserve">Subject:</w:t>
      </w:r>
      <w:r>
        <w:t xml:space="preserve"> </w:t>
      </w:r>
      <w:r>
        <w:t xml:space="preserve">Why the supplement does not fix the tired</w:t>
      </w:r>
    </w:p>
    <w:p>
      <w:pPr>
        <w:pStyle w:val="BodyText"/>
      </w:pPr>
      <w:r>
        <w:rPr>
          <w:b/>
          <w:bCs/>
        </w:rPr>
        <w:t xml:space="preserve">Body:</w:t>
      </w:r>
    </w:p>
    <w:p>
      <w:pPr>
        <w:pStyle w:val="SourceCode"/>
      </w:pPr>
      <w:r>
        <w:rPr>
          <w:rStyle w:val="VerbatimChar"/>
        </w:rPr>
        <w:t xml:space="preserve">You may have already tried the obvious fix. Bought the vitamin D, took it daily, maybe even saw your level come up on a lab. And you are still dragging through afternoons like nothing changed.</w:t>
      </w:r>
      <w:r>
        <w:br/>
      </w:r>
      <w:r>
        <w:br/>
      </w:r>
      <w:r>
        <w:rPr>
          <w:rStyle w:val="VerbatimChar"/>
        </w:rPr>
        <w:t xml:space="preserve">That is not you doing it wrong. It is the supplement doing less than you were told.</w:t>
      </w:r>
      <w:r>
        <w:br/>
      </w:r>
      <w:r>
        <w:br/>
      </w:r>
      <w:r>
        <w:rPr>
          <w:rStyle w:val="VerbatimChar"/>
        </w:rPr>
        <w:t xml:space="preserve">A pill raises one thing: the vitamin D number in your blood. Real, and it matters. But it is one output of a process that has several. When sunlight hits skin, your body does more than make vitamin D. It releases nitric oxide, which supports circulation and cardiovascular regulation. It supports serotonin, which feeds mood and sleep. And it makes related compounds no capsule contains. Enyrgy calls the whole thing the Triple-Pathway Advantage(TM).</w:t>
      </w:r>
      <w:r>
        <w:br/>
      </w:r>
      <w:r>
        <w:br/>
      </w:r>
      <w:r>
        <w:rPr>
          <w:rStyle w:val="VerbatimChar"/>
        </w:rPr>
        <w:t xml:space="preserve">The pill delivers one ingredient. It does not run the process.</w:t>
      </w:r>
      <w:r>
        <w:br/>
      </w:r>
      <w:r>
        <w:br/>
      </w:r>
      <w:r>
        <w:rPr>
          <w:rStyle w:val="VerbatimChar"/>
        </w:rPr>
        <w:t xml:space="preserve">So you can have a perfectly fine vitamin D level and still be missing most of what the light was doing for you. That is why "just take more D3" can move a number on a lab without changing how you feel. If you have been doing the responsible thing and still feel no different, this is probably the reason.</w:t>
      </w:r>
      <w:r>
        <w:br/>
      </w:r>
      <w:r>
        <w:br/>
      </w:r>
      <w:r>
        <w:rPr>
          <w:rStyle w:val="VerbatimChar"/>
        </w:rPr>
        <w:t xml:space="preserve">The next one is about sleep specifically, because the serotonin piece connects straight to why you wake up unrested.</w:t>
      </w:r>
      <w:r>
        <w:br/>
      </w:r>
      <w:r>
        <w:br/>
      </w:r>
      <w:r>
        <w:rPr>
          <w:rStyle w:val="VerbatimChar"/>
        </w:rPr>
        <w:t xml:space="preserve">{{custom_values.standard_signature}}</w:t>
      </w:r>
    </w:p>
    <w:p>
      <w:pPr>
        <w:pStyle w:val="FirstParagraph"/>
      </w:pPr>
      <w:r>
        <w:rPr>
          <w:b/>
          <w:bCs/>
        </w:rPr>
        <w:t xml:space="preserve">CORRECTED Aug 2, twice.</w:t>
      </w:r>
      <w:r>
        <w:t xml:space="preserve"> </w:t>
      </w:r>
      <w:r>
        <w:t xml:space="preserve">A mangled sentence and a nitric oxide claim. See the change log.</w:t>
      </w:r>
    </w:p>
    <w:p>
      <w:r>
        <w:pict>
          <v:rect style="width:0;height:1.5pt" o:hralign="center" o:hrstd="t" o:hr="t"/>
        </w:pict>
      </w:r>
    </w:p>
    <w:bookmarkEnd w:id="20"/>
    <w:bookmarkStart w:id="21" w:name="touch-3-day-7-email"/>
    <w:p>
      <w:pPr>
        <w:pStyle w:val="Heading2"/>
      </w:pPr>
      <w:r>
        <w:t xml:space="preserve">Touch 3 | Day 7 | Email</w:t>
      </w:r>
    </w:p>
    <w:p>
      <w:pPr>
        <w:pStyle w:val="FirstParagraph"/>
      </w:pPr>
      <w:r>
        <w:rPr>
          <w:b/>
          <w:bCs/>
        </w:rPr>
        <w:t xml:space="preserve">Subject:</w:t>
      </w:r>
      <w:r>
        <w:t xml:space="preserve"> </w:t>
      </w:r>
      <w:r>
        <w:t xml:space="preserve">The light-sleep connection most people miss</w:t>
      </w:r>
    </w:p>
    <w:p>
      <w:pPr>
        <w:pStyle w:val="BodyText"/>
      </w:pPr>
      <w:r>
        <w:rPr>
          <w:b/>
          <w:bCs/>
        </w:rPr>
        <w:t xml:space="preserve">Body:</w:t>
      </w:r>
    </w:p>
    <w:p>
      <w:pPr>
        <w:pStyle w:val="SourceCode"/>
      </w:pPr>
      <w:r>
        <w:rPr>
          <w:rStyle w:val="VerbatimChar"/>
        </w:rPr>
        <w:t xml:space="preserve">Think about how you sleep in summer versus the dead of winter. Most people sleep noticeably better in summer and never ask why, because nothing in their bedroom changed. The room is the same. What changed is how much light their skin saw during the day.</w:t>
      </w:r>
      <w:r>
        <w:br/>
      </w:r>
      <w:r>
        <w:br/>
      </w:r>
      <w:r>
        <w:rPr>
          <w:rStyle w:val="VerbatimChar"/>
        </w:rPr>
        <w:t xml:space="preserve">Here is the link. The serotonin your body makes from daytime light is the raw material for melatonin, the hormone that runs your sleep. Less daytime light, less of the upstream chemistry, and the whole rhythm goes flat. You can do everything right at 10pm, dark room, no screens, cool air, and still be working with a system that got shorted at noon.</w:t>
      </w:r>
      <w:r>
        <w:br/>
      </w:r>
      <w:r>
        <w:br/>
      </w:r>
      <w:r>
        <w:rPr>
          <w:rStyle w:val="VerbatimChar"/>
        </w:rPr>
        <w:t xml:space="preserve">That is the part the sleep advice misses. It all points at night. Bedtime routine, blue light, magnesium. Useful, but downstream. If you have run the whole nighttime checklist and still wake up tired, you have been addressing the end of the chain and leaving the start of it alone.</w:t>
      </w:r>
      <w:r>
        <w:br/>
      </w:r>
      <w:r>
        <w:br/>
      </w:r>
      <w:r>
        <w:rPr>
          <w:rStyle w:val="VerbatimChar"/>
        </w:rPr>
        <w:t xml:space="preserve">The daytime input is the start of the chain. The next email shows what addressing it actually looks like, in minutes, not lifestyle overhaul.</w:t>
      </w:r>
      <w:r>
        <w:br/>
      </w:r>
      <w:r>
        <w:br/>
      </w:r>
      <w:r>
        <w:rPr>
          <w:rStyle w:val="VerbatimChar"/>
        </w:rPr>
        <w:t xml:space="preserve">{{custom_values.standard_signature}}</w:t>
      </w:r>
    </w:p>
    <w:p>
      <w:pPr>
        <w:pStyle w:val="FirstParagraph"/>
      </w:pPr>
      <w:r>
        <w:rPr>
          <w:b/>
          <w:bCs/>
        </w:rPr>
        <w:t xml:space="preserve">Checked:</w:t>
      </w:r>
      <w:r>
        <w:t xml:space="preserve"> </w:t>
      </w:r>
      <w:r>
        <w:t xml:space="preserve">the sleep mechanism matches the KB’s educational framing exactly. Serotonin from daytime light is the precursor the body converts to melatonin, presented as how the biology works rather than as a promise the device improves sleep.</w:t>
      </w:r>
    </w:p>
    <w:p>
      <w:r>
        <w:pict>
          <v:rect style="width:0;height:1.5pt" o:hralign="center" o:hrstd="t" o:hr="t"/>
        </w:pict>
      </w:r>
    </w:p>
    <w:bookmarkEnd w:id="21"/>
    <w:bookmarkStart w:id="22" w:name="touch-4-day-10-email"/>
    <w:p>
      <w:pPr>
        <w:pStyle w:val="Heading2"/>
      </w:pPr>
      <w:r>
        <w:t xml:space="preserve">Touch 4 | Day 10 | Email</w:t>
      </w:r>
    </w:p>
    <w:p>
      <w:pPr>
        <w:pStyle w:val="FirstParagraph"/>
      </w:pPr>
      <w:r>
        <w:rPr>
          <w:b/>
          <w:bCs/>
        </w:rPr>
        <w:t xml:space="preserve">Subject:</w:t>
      </w:r>
      <w:r>
        <w:t xml:space="preserve"> </w:t>
      </w:r>
      <w:r>
        <w:t xml:space="preserve">What two to four minutes a day actually does</w:t>
      </w:r>
    </w:p>
    <w:p>
      <w:pPr>
        <w:pStyle w:val="BodyText"/>
      </w:pPr>
      <w:r>
        <w:rPr>
          <w:b/>
          <w:bCs/>
        </w:rPr>
        <w:t xml:space="preserve">Body:</w:t>
      </w:r>
    </w:p>
    <w:p>
      <w:pPr>
        <w:pStyle w:val="SourceCode"/>
      </w:pPr>
      <w:r>
        <w:rPr>
          <w:rStyle w:val="VerbatimChar"/>
        </w:rPr>
        <w:t xml:space="preserve">Count up what the tiredness has actually cost you lately. The workouts you skipped because you had nothing left. The nights you were too foggy to be present with the people you care about. The work that took twice as long because your focus kept sliding. Chronic tiredness does not just feel bad, it quietly takes things, week after week, and you stop noticing how much.</w:t>
      </w:r>
      <w:r>
        <w:br/>
      </w:r>
      <w:r>
        <w:br/>
      </w:r>
      <w:r>
        <w:rPr>
          <w:rStyle w:val="VerbatimChar"/>
        </w:rPr>
        <w:t xml:space="preserve">You now know the shape of the cause. The light your skin uses runs vitamin D, nitric oxide, and serotonin. Indoor life starves all three. Supplements cover one, partway. So the real question is what you do about it without moving to the equator or quitting your job to garden.</w:t>
      </w:r>
      <w:r>
        <w:br/>
      </w:r>
      <w:r>
        <w:br/>
      </w:r>
      <w:r>
        <w:rPr>
          <w:rStyle w:val="VerbatimChar"/>
        </w:rPr>
        <w:t xml:space="preserve">We built a platform for exactly this. The Enyrgy Vitamin D Primal Light Platform delivers precise UVB and UVA through BioCalibrated Sunshine(TM), dosed to your skin type, in a two to four minute session. It triggers the same cascade real sunlight does. Light boxes and red light panels each do something different. This runs the synthesis your body has been missing.</w:t>
      </w:r>
      <w:r>
        <w:br/>
      </w:r>
      <w:r>
        <w:br/>
      </w:r>
      <w:r>
        <w:rPr>
          <w:rStyle w:val="VerbatimChar"/>
        </w:rPr>
        <w:t xml:space="preserve">In a twelve week cohort, five people used it four to six times a week. Average vitamin D went from 39.96 to 84.20 ng/mL, insufficient to optimal, zero adverse events. Small study, no control group, all healthy adults, and we say so plainly. Larger trials are in development. What it shows is narrow but real: the mechanism moves actual labs.</w:t>
      </w:r>
      <w:r>
        <w:br/>
      </w:r>
      <w:r>
        <w:br/>
      </w:r>
      <w:r>
        <w:rPr>
          <w:rStyle w:val="VerbatimChar"/>
        </w:rPr>
        <w:t xml:space="preserve">Two to four minutes a day. That is the whole ask on your time, against everything the tiredness has been quietly charging you.</w:t>
      </w:r>
      <w:r>
        <w:br/>
      </w:r>
      <w:r>
        <w:br/>
      </w:r>
      <w:r>
        <w:rPr>
          <w:rStyle w:val="VerbatimChar"/>
        </w:rPr>
        <w:t xml:space="preserve">See how the platform works</w:t>
      </w:r>
      <w:r>
        <w:br/>
      </w:r>
      <w:r>
        <w:br/>
      </w:r>
      <w:r>
        <w:rPr>
          <w:rStyle w:val="VerbatimChar"/>
        </w:rPr>
        <w:t xml:space="preserve">{{custom_values.standard_signature}}</w:t>
      </w:r>
    </w:p>
    <w:p>
      <w:pPr>
        <w:pStyle w:val="FirstParagraph"/>
      </w:pPr>
      <w:r>
        <w:rPr>
          <w:b/>
          <w:bCs/>
        </w:rPr>
        <w:t xml:space="preserve">The model for citing the study data, alongside WF-17 touch 2.</w:t>
      </w:r>
      <w:r>
        <w:t xml:space="preserve"> </w:t>
      </w:r>
      <w:r>
        <w:t xml:space="preserve">N=5 stated, no control group stated, healthy adults stated, larger trials noted, and</w:t>
      </w:r>
      <w:r>
        <w:t xml:space="preserve"> </w:t>
      </w:r>
      <w:r>
        <w:t xml:space="preserve">“what it shows is narrow but real”</w:t>
      </w:r>
      <w:r>
        <w:t xml:space="preserve"> </w:t>
      </w:r>
      <w:r>
        <w:t xml:space="preserve">sets the claim exactly where the evidence supports it. Nothing hidden, and the paragraph is more persuasive for it.</w:t>
      </w:r>
    </w:p>
    <w:p>
      <w:r>
        <w:pict>
          <v:rect style="width:0;height:1.5pt" o:hralign="center" o:hrstd="t" o:hr="t"/>
        </w:pict>
      </w:r>
    </w:p>
    <w:bookmarkEnd w:id="22"/>
    <w:bookmarkStart w:id="23" w:name="touch-5-day-14-email"/>
    <w:p>
      <w:pPr>
        <w:pStyle w:val="Heading2"/>
      </w:pPr>
      <w:r>
        <w:t xml:space="preserve">Touch 5 | Day 14 | Email</w:t>
      </w:r>
    </w:p>
    <w:p>
      <w:pPr>
        <w:pStyle w:val="FirstParagraph"/>
      </w:pPr>
      <w:r>
        <w:rPr>
          <w:b/>
          <w:bCs/>
        </w:rPr>
        <w:t xml:space="preserve">Subject:</w:t>
      </w:r>
      <w:r>
        <w:t xml:space="preserve"> </w:t>
      </w:r>
      <w:r>
        <w:t xml:space="preserve">Test it against your own labs</w:t>
      </w:r>
    </w:p>
    <w:p>
      <w:pPr>
        <w:pStyle w:val="BodyText"/>
      </w:pPr>
      <w:r>
        <w:rPr>
          <w:b/>
          <w:bCs/>
        </w:rPr>
        <w:t xml:space="preserve">Body:</w:t>
      </w:r>
    </w:p>
    <w:p>
      <w:pPr>
        <w:pStyle w:val="SourceCode"/>
      </w:pPr>
      <w:r>
        <w:rPr>
          <w:rStyle w:val="VerbatimChar"/>
        </w:rPr>
        <w:t xml:space="preserve">I am not going to try to talk you into this. That is not how I want anyone buying something they wear on their own skin.</w:t>
      </w:r>
      <w:r>
        <w:br/>
      </w:r>
      <w:r>
        <w:br/>
      </w:r>
      <w:r>
        <w:rPr>
          <w:rStyle w:val="VerbatimChar"/>
        </w:rPr>
        <w:t xml:space="preserve">Here is what I would do in your position. Get a baseline vitamin D lab. Most people can order one without a doctor visit, and it costs less than a week of the coffee you are using to stay upright. Then if you decide to run the protocol, use it for eight to twelve weeks and test again. You will have your own before and after, on your own body, not my numbers and not a study's.</w:t>
      </w:r>
      <w:r>
        <w:br/>
      </w:r>
      <w:r>
        <w:br/>
      </w:r>
      <w:r>
        <w:rPr>
          <w:rStyle w:val="VerbatimChar"/>
        </w:rPr>
        <w:t xml:space="preserve">The platform comes with a thirty day money back guarantee, and that is a separate decision from the labs. If it is not for you, send it back inside thirty days. You do not have to wait on lab results to make that call. The labs are the honest test of whether it works, and they are yours to check on your own timeline.</w:t>
      </w:r>
      <w:r>
        <w:br/>
      </w:r>
      <w:r>
        <w:br/>
      </w:r>
      <w:r>
        <w:rPr>
          <w:rStyle w:val="VerbatimChar"/>
        </w:rPr>
        <w:t xml:space="preserve">One more thing, because it is the part that actually matters. The cost of waiting is not zero. It is another season of waking up tired, another stretch of afternoons you push through on fumes, while the input stays missing. You have already spent long enough finding out that the usual approaches did not work. This is the one almost nobody checks.</w:t>
      </w:r>
      <w:r>
        <w:br/>
      </w:r>
      <w:r>
        <w:br/>
      </w:r>
      <w:r>
        <w:rPr>
          <w:rStyle w:val="VerbatimChar"/>
        </w:rPr>
        <w:t xml:space="preserve">Your data, your decision.</w:t>
      </w:r>
      <w:r>
        <w:br/>
      </w:r>
      <w:r>
        <w:br/>
      </w:r>
      <w:r>
        <w:rPr>
          <w:rStyle w:val="VerbatimChar"/>
        </w:rPr>
        <w:t xml:space="preserve">Learn about the platform  |  Get yours</w:t>
      </w:r>
      <w:r>
        <w:br/>
      </w:r>
      <w:r>
        <w:br/>
      </w:r>
      <w:r>
        <w:rPr>
          <w:rStyle w:val="VerbatimChar"/>
        </w:rPr>
        <w:t xml:space="preserve">{{custom_values.standard_signature}}</w:t>
      </w:r>
    </w:p>
    <w:p>
      <w:pPr>
        <w:pStyle w:val="FirstParagraph"/>
      </w:pPr>
      <w:r>
        <w:rPr>
          <w:b/>
          <w:bCs/>
        </w:rPr>
        <w:t xml:space="preserve">CORRECTED Aug 2.</w:t>
      </w:r>
      <w:r>
        <w:t xml:space="preserve"> </w:t>
      </w:r>
      <w:r>
        <w:t xml:space="preserve">Guarantee decoupled from the lab timeline. See the change log.</w:t>
      </w:r>
    </w:p>
    <w:p>
      <w:r>
        <w:pict>
          <v:rect style="width:0;height:1.5pt" o:hralign="center" o:hrstd="t" o:hr="t"/>
        </w:pict>
      </w:r>
    </w:p>
    <w:bookmarkEnd w:id="23"/>
    <w:bookmarkEnd w:id="24"/>
    <w:bookmarkStart w:id="25" w:name="X5fc43683d8b975533f4a8269bbf34c30789ae1b"/>
    <w:p>
      <w:pPr>
        <w:pStyle w:val="Heading1"/>
      </w:pPr>
      <w:r>
        <w:t xml:space="preserve">OPEN, noticed Aug 26: WF-12 sends nothing at capture</w:t>
      </w:r>
    </w:p>
    <w:p>
      <w:pPr>
        <w:pStyle w:val="FirstParagraph"/>
      </w:pPr>
      <w:r>
        <w:rPr>
          <w:b/>
          <w:bCs/>
        </w:rPr>
        <w:t xml:space="preserve">WF-12 Tired Test Lead Magnet is Inbound Webhook, Create contact, Add Tag, Add Dynamic Tags, Assign to Millie, END.</w:t>
      </w:r>
      <w:r>
        <w:t xml:space="preserve"> </w:t>
      </w:r>
      <w:r>
        <w:t xml:space="preserve">There is no email action in it. The first thing a Tired Test lead hears from GHL is</w:t>
      </w:r>
      <w:r>
        <w:t xml:space="preserve"> </w:t>
      </w:r>
      <w:r>
        <w:rPr>
          <w:b/>
          <w:bCs/>
        </w:rPr>
        <w:t xml:space="preserve">WF-13 touch 1, at Day 1.</w:t>
      </w:r>
    </w:p>
    <w:p>
      <w:pPr>
        <w:pStyle w:val="BodyText"/>
      </w:pPr>
      <w:r>
        <w:rPr>
          <w:b/>
          <w:bCs/>
        </w:rPr>
        <w:t xml:space="preserve">Why that is worth checking.</w:t>
      </w:r>
      <w:r>
        <w:t xml:space="preserve"> </w:t>
      </w:r>
      <w:r>
        <w:t xml:space="preserve">WF-02’s five-minute SMS tells consumer leads</w:t>
      </w:r>
      <w:r>
        <w:t xml:space="preserve"> </w:t>
      </w:r>
      <w:r>
        <w:rPr>
          <w:i/>
          <w:iCs/>
        </w:rPr>
        <w:t xml:space="preserve">“Check your email, I am sending you something that might finally explain why.”</w:t>
      </w:r>
      <w:r>
        <w:t xml:space="preserve"> </w:t>
      </w:r>
      <w:r>
        <w:t xml:space="preserve">The note in</w:t>
      </w:r>
      <w:r>
        <w:t xml:space="preserve"> </w:t>
      </w:r>
      <w:r>
        <w:rPr>
          <w:rStyle w:val="VerbatimChar"/>
        </w:rPr>
        <w:t xml:space="preserve">campaigns/WF-02-five-minute-sms.md</w:t>
      </w:r>
      <w:r>
        <w:t xml:space="preserve"> </w:t>
      </w:r>
      <w:r>
        <w:t xml:space="preserve">justifies that line on the grounds that WF-12, 15, 18, 19 and 21 all send their guide or results email at capture. For WF-12 that is not true on the canvas.</w:t>
      </w:r>
    </w:p>
    <w:p>
      <w:pPr>
        <w:pStyle w:val="BodyText"/>
      </w:pPr>
      <w:r>
        <w:t xml:space="preserve">Either the Tired Test page delivers the guide itself at submission, in which case the promise is kept and only our note is wrong, or a lead who receives that SMS is pointed at an inbox that stays empty for up to a day, which breaks a promise at the very first touch.</w:t>
      </w:r>
      <w:r>
        <w:t xml:space="preserve"> </w:t>
      </w:r>
      <w:r>
        <w:rPr>
          <w:b/>
          <w:bCs/>
        </w:rPr>
        <w:t xml:space="preserve">Check the page, not the workflow.</w:t>
      </w:r>
      <w:r>
        <w:t xml:space="preserve"> </w:t>
      </w:r>
      <w:r>
        <w:t xml:space="preserve">The other four capture workflows deserve the same look.</w:t>
      </w:r>
    </w:p>
    <w:bookmarkEnd w:id="25"/>
    <w:bookmarkStart w:id="27" w:name="change-log-2026-08-18"/>
    <w:p>
      <w:pPr>
        <w:pStyle w:val="Heading1"/>
      </w:pPr>
      <w:r>
        <w:t xml:space="preserve">Change log, 2026-08-18</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4</w:t>
            </w:r>
          </w:p>
        </w:tc>
        <w:tc>
          <w:tcPr/>
          <w:p>
            <w:pPr>
              <w:pStyle w:val="Compact"/>
            </w:pPr>
            <w:r>
              <w:t xml:space="preserve">“Not a tanning bed, not a light box, not a red light panel”</w:t>
            </w:r>
            <w:r>
              <w:t xml:space="preserve"> </w:t>
            </w:r>
            <w:r>
              <w:t xml:space="preserve">replaced with</w:t>
            </w:r>
            <w:r>
              <w:t xml:space="preserve"> </w:t>
            </w:r>
            <w:r>
              <w:t xml:space="preserve">“Light boxes and red light panels each do something different”</w:t>
            </w:r>
          </w:p>
        </w:tc>
      </w:tr>
    </w:tbl>
    <w:p>
      <w:pPr>
        <w:pStyle w:val="BodyText"/>
      </w:pPr>
      <w:r>
        <w:rPr>
          <w:b/>
          <w:bCs/>
        </w:rPr>
        <w:t xml:space="preserve">Live in GHL as of 2026-08-18.</w:t>
      </w:r>
    </w:p>
    <w:bookmarkStart w:id="26" w:name="naming-the-comparison-plants-it"/>
    <w:p>
      <w:pPr>
        <w:pStyle w:val="Heading2"/>
      </w:pPr>
      <w:r>
        <w:t xml:space="preserve">Naming the comparison plants it</w:t>
      </w:r>
    </w:p>
    <w:p>
      <w:pPr>
        <w:pStyle w:val="FirstParagraph"/>
      </w:pPr>
      <w:r>
        <w:t xml:space="preserve">Scott’s rule, and it is now in the brand style guide under Brand Positioning: never put the tanning-bed comparison in a prospect’s mind, in any form, including a denial. A reader who was not thinking about tanning beds is thinking about them the moment the sentence names one, and the association survives the</w:t>
      </w:r>
      <w:r>
        <w:t xml:space="preserve"> </w:t>
      </w:r>
      <w:r>
        <w:t xml:space="preserve">“not”</w:t>
      </w:r>
      <w:r>
        <w:t xml:space="preserve">.</w:t>
      </w:r>
    </w:p>
    <w:p>
      <w:pPr>
        <w:pStyle w:val="BodyText"/>
      </w:pPr>
      <w:r>
        <w:t xml:space="preserve">This instance was the worse of the two found. It led with the comparison rather than mentioning it in passing, and it stacked three denials in a row, which reads as defensive about a charge nobody made.</w:t>
      </w:r>
    </w:p>
    <w:p>
      <w:pPr>
        <w:pStyle w:val="BodyText"/>
      </w:pPr>
      <w:r>
        <w:t xml:space="preserve">The two contrasts worth keeping are light boxes and red light panels. Customers genuinely conflate those with the platform, the distinction is real, and neither carries an association worth avoiding. Dropping only the first item leaves the sentence doing the same work with none of the cost.</w:t>
      </w:r>
    </w:p>
    <w:p>
      <w:pPr>
        <w:pStyle w:val="BodyText"/>
      </w:pPr>
      <w:r>
        <w:t xml:space="preserve">Answering the comparison is still correct when a prospect raises it first. The knowledge base objection script and the OSV staff talk track both handle it. The rule is about who introduces it.</w:t>
      </w:r>
    </w:p>
    <w:p>
      <w:r>
        <w:pict>
          <v:rect style="width:0;height:1.5pt" o:hralign="center" o:hrstd="t" o:hr="t"/>
        </w:pict>
      </w:r>
    </w:p>
    <w:bookmarkEnd w:id="26"/>
    <w:bookmarkEnd w:id="27"/>
    <w:bookmarkStart w:id="31" w:name="change-log-2026-08-02"/>
    <w:p>
      <w:pPr>
        <w:pStyle w:val="Heading1"/>
      </w:pPr>
      <w:r>
        <w:t xml:space="preserve">Change log, 2026-08-02</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2</w:t>
            </w:r>
          </w:p>
        </w:tc>
        <w:tc>
          <w:tcPr/>
          <w:p>
            <w:pPr>
              <w:pStyle w:val="Compact"/>
            </w:pPr>
            <w:r>
              <w:t xml:space="preserve">Repaired a mangled sentence that was live</w:t>
            </w:r>
          </w:p>
        </w:tc>
      </w:tr>
      <w:tr>
        <w:tc>
          <w:tcPr/>
          <w:p>
            <w:pPr>
              <w:pStyle w:val="Compact"/>
            </w:pPr>
            <w:r>
              <w:t xml:space="preserve">2</w:t>
            </w:r>
          </w:p>
        </w:tc>
        <w:tc>
          <w:tcPr/>
          <w:p>
            <w:pPr>
              <w:pStyle w:val="Compact"/>
            </w:pPr>
            <w:r>
              <w:t xml:space="preserve">2</w:t>
            </w:r>
          </w:p>
        </w:tc>
        <w:tc>
          <w:tcPr/>
          <w:p>
            <w:pPr>
              <w:pStyle w:val="Compact"/>
            </w:pPr>
            <w:r>
              <w:t xml:space="preserve">Nitric oxide corrected from</w:t>
            </w:r>
            <w:r>
              <w:t xml:space="preserve"> </w:t>
            </w:r>
            <w:r>
              <w:t xml:space="preserve">“how rested you feel”</w:t>
            </w:r>
            <w:r>
              <w:t xml:space="preserve"> </w:t>
            </w:r>
            <w:r>
              <w:t xml:space="preserve">to circulation and cardiovascular regulation</w:t>
            </w:r>
          </w:p>
        </w:tc>
      </w:tr>
      <w:tr>
        <w:tc>
          <w:tcPr/>
          <w:p>
            <w:pPr>
              <w:pStyle w:val="Compact"/>
            </w:pPr>
            <w:r>
              <w:t xml:space="preserve">3</w:t>
            </w:r>
          </w:p>
        </w:tc>
        <w:tc>
          <w:tcPr/>
          <w:p>
            <w:pPr>
              <w:pStyle w:val="Compact"/>
            </w:pPr>
            <w:r>
              <w:t xml:space="preserve">5</w:t>
            </w:r>
          </w:p>
        </w:tc>
        <w:tc>
          <w:tcPr/>
          <w:p>
            <w:pPr>
              <w:pStyle w:val="Compact"/>
            </w:pPr>
            <w:r>
              <w:t xml:space="preserve">Guarantee explicitly decoupled from the eight-to-twelve-week lab timeline</w:t>
            </w:r>
          </w:p>
        </w:tc>
      </w:tr>
    </w:tbl>
    <w:bookmarkStart w:id="28" w:name="the-mangled-sentence-and-why-it-survived"/>
    <w:p>
      <w:pPr>
        <w:pStyle w:val="Heading2"/>
      </w:pPr>
      <w:r>
        <w:t xml:space="preserve">The mangled sentence, and why it survived</w:t>
      </w:r>
    </w:p>
    <w:p>
      <w:pPr>
        <w:pStyle w:val="FirstParagraph"/>
      </w:pPr>
      <w:r>
        <w:t xml:space="preserve">Touch 2 was sending this to every Tired Test lead:</w:t>
      </w:r>
    </w:p>
    <w:p>
      <w:pPr>
        <w:pStyle w:val="BlockText"/>
      </w:pPr>
      <w:r>
        <w:t xml:space="preserve">That is why</w:t>
      </w:r>
      <w:r>
        <w:t xml:space="preserve"> </w:t>
      </w:r>
      <w:r>
        <w:t xml:space="preserve">“That is why</w:t>
      </w:r>
      <w:r>
        <w:t xml:space="preserve"> </w:t>
      </w:r>
      <w:r>
        <w:t xml:space="preserve">‘just take more D3’</w:t>
      </w:r>
      <w:r>
        <w:t xml:space="preserve"> </w:t>
      </w:r>
      <w:r>
        <w:t xml:space="preserve">can move the number on a lab without changing how you feel.”</w:t>
      </w:r>
    </w:p>
    <w:p>
      <w:pPr>
        <w:pStyle w:val="FirstParagraph"/>
      </w:pPr>
      <w:r>
        <w:t xml:space="preserve">“That is why”</w:t>
      </w:r>
      <w:r>
        <w:t xml:space="preserve"> </w:t>
      </w:r>
      <w:r>
        <w:t xml:space="preserve">twice, wrapped in a stray nested quote, with the paragraph then ending on</w:t>
      </w:r>
      <w:r>
        <w:t xml:space="preserve"> </w:t>
      </w:r>
      <w:r>
        <w:t xml:space="preserve">“this is probably why”</w:t>
      </w:r>
      <w:r>
        <w:t xml:space="preserve"> </w:t>
      </w:r>
      <w:r>
        <w:t xml:space="preserve">a line later.</w:t>
      </w:r>
    </w:p>
    <w:p>
      <w:pPr>
        <w:pStyle w:val="BodyText"/>
      </w:pPr>
      <w:r>
        <w:rPr>
          <w:b/>
          <w:bCs/>
        </w:rPr>
        <w:t xml:space="preserve">Every claim in that sentence is accurate</w:t>
      </w:r>
      <w:r>
        <w:t xml:space="preserve">, which is exactly why a compliance audit scans past it. It only surfaces when someone reads the sentence as a sentence rather than as a set of claims. Same class of miss as the duplicated merge fields in the Commercial Drip subject lines.</w:t>
      </w:r>
    </w:p>
    <w:bookmarkEnd w:id="28"/>
    <w:bookmarkStart w:id="29" w:name="the-nitric-oxide-drift"/>
    <w:p>
      <w:pPr>
        <w:pStyle w:val="Heading2"/>
      </w:pPr>
      <w:r>
        <w:t xml:space="preserve">The nitric oxide drift</w:t>
      </w:r>
    </w:p>
    <w:p>
      <w:pPr>
        <w:pStyle w:val="FirstParagraph"/>
      </w:pPr>
      <w:r>
        <w:t xml:space="preserve">The original gave nitric oxide</w:t>
      </w:r>
      <w:r>
        <w:t xml:space="preserve"> </w:t>
      </w:r>
      <w:r>
        <w:t xml:space="preserve">“circulation and how rested you feel.”</w:t>
      </w:r>
      <w:r>
        <w:t xml:space="preserve"> </w:t>
      </w:r>
      <w:r>
        <w:t xml:space="preserve">The KB assigns nitric oxide to cardiovascular regulation and blood pressure; rest, mood and sleep belong to serotonin, which the next sentence already covered.</w:t>
      </w:r>
    </w:p>
    <w:p>
      <w:pPr>
        <w:pStyle w:val="BodyText"/>
      </w:pPr>
      <w:r>
        <w:t xml:space="preserve">Beyond being off-spec, it weakened the argument. The Triple-Pathway case rests on each pathway doing a distinct job, and handing the same benefit to two of them blurs the distinction the email is built on.</w:t>
      </w:r>
    </w:p>
    <w:bookmarkEnd w:id="29"/>
    <w:bookmarkStart w:id="30" w:name="the-guarantee-decoupling"/>
    <w:p>
      <w:pPr>
        <w:pStyle w:val="Heading2"/>
      </w:pPr>
      <w:r>
        <w:t xml:space="preserve">The guarantee decoupling</w:t>
      </w:r>
    </w:p>
    <w:p>
      <w:pPr>
        <w:pStyle w:val="FirstParagraph"/>
      </w:pPr>
      <w:r>
        <w:t xml:space="preserve">Milder than the WF-17 version. Nothing tied the guarantee to the labs explicitly, but the paragraph telling the reader to retest at eight to twelve weeks sat directly above the thirty-day guarantee with nothing separating them, so the natural read was that one clock covered the other.</w:t>
      </w:r>
    </w:p>
    <w:p>
      <w:pPr>
        <w:pStyle w:val="BodyText"/>
      </w:pPr>
      <w:r>
        <w:t xml:space="preserve">Now stated plainly: two decisions, two timelines, and you do not have to wait on labs to exercise the guarantee.</w:t>
      </w:r>
    </w:p>
    <w:p>
      <w:pPr>
        <w:pStyle w:val="BodyText"/>
      </w:pPr>
      <w:r>
        <w:rPr>
          <w:b/>
          <w:bCs/>
        </w:rPr>
        <w:t xml:space="preserve">Third workflow in a row where this needed attention</w:t>
      </w:r>
      <w:r>
        <w:t xml:space="preserve">, after WF-17 touches 4 and 7. The Session 14 audit decoupled it</w:t>
      </w:r>
      <w:r>
        <w:t xml:space="preserve"> </w:t>
      </w:r>
      <w:r>
        <w:t xml:space="preserve">“everywhere”</w:t>
      </w:r>
      <w:r>
        <w:t xml:space="preserve">; it has now been found still coupled, or ambiguously coupled, in three separate places.</w:t>
      </w:r>
    </w:p>
    <w:bookmarkEnd w:id="30"/>
    <w:bookmarkEnd w:id="31"/>
    <w:sectPr w:rsidR="00656573">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WF-13-tired-test </w:t>
    </w:r>
    <w:proofErr w:type="gramStart"/>
    <w:r>
      <w:rPr>
        <w:rFonts w:ascii="Montserrat" w:eastAsia="Montserrat" w:hAnsi="Montserrat" w:cs="Montserrat"/>
        <w:b/>
        <w:bCs/>
        <w:color w:val="E64C38"/>
        <w:sz w:val="18"/>
        <w:szCs w:val="18"/>
      </w:rPr>
      <w:t xml:space="preserve">  </w:t>
    </w:r>
    <w:r>
      <w:rPr>
        <w:rFonts w:ascii="Montserrat" w:eastAsia="Montserrat" w:hAnsi="Montserrat" w:cs="Montserrat"/>
        <w:color w:val="999999"/>
        <w:sz w:val="18"/>
        <w:szCs w:val="18"/>
      </w:rPr>
      <w:t>CONFIDENTIAL</w:t>
    </w:r>
    <w:proofErr w:type="gram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BDE2408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07FA75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47261BAD"/>
    <w:multiLevelType w:val="multilevel"/>
    <w:tmpl w:val="8ECE1826"/>
    <w:lvl w:ilvl="0">
      <w:start w:val="7"/>
      <w:numFmt w:val="decimal"/>
      <w:lvlText w:val="%1."/>
      <w:lvlJc w:val="left"/>
      <w:pPr>
        <w:tabs>
          <w:tab w:pos="0" w:val="num"/>
        </w:tabs>
        <w:ind w:hanging="480" w:left="480"/>
      </w:pPr>
    </w:lvl>
    <w:lvl w:ilvl="1">
      <w:start w:val="7"/>
      <w:numFmt w:val="decimal"/>
      <w:lvlText w:val="%2."/>
      <w:lvlJc w:val="left"/>
      <w:pPr>
        <w:tabs>
          <w:tab w:pos="720" w:val="num"/>
        </w:tabs>
        <w:ind w:hanging="480" w:left="1200"/>
      </w:pPr>
    </w:lvl>
    <w:lvl w:ilvl="2">
      <w:start w:val="7"/>
      <w:numFmt w:val="decimal"/>
      <w:lvlText w:val="%3."/>
      <w:lvlJc w:val="left"/>
      <w:pPr>
        <w:tabs>
          <w:tab w:pos="1440" w:val="num"/>
        </w:tabs>
        <w:ind w:hanging="480" w:left="1920"/>
      </w:pPr>
    </w:lvl>
    <w:lvl w:ilvl="3">
      <w:start w:val="7"/>
      <w:numFmt w:val="decimal"/>
      <w:lvlText w:val="%4."/>
      <w:lvlJc w:val="left"/>
      <w:pPr>
        <w:tabs>
          <w:tab w:pos="2160" w:val="num"/>
        </w:tabs>
        <w:ind w:hanging="480" w:left="2640"/>
      </w:pPr>
    </w:lvl>
    <w:lvl w:ilvl="4">
      <w:start w:val="7"/>
      <w:numFmt w:val="decimal"/>
      <w:lvlText w:val="%5."/>
      <w:lvlJc w:val="left"/>
      <w:pPr>
        <w:tabs>
          <w:tab w:pos="2880" w:val="num"/>
        </w:tabs>
        <w:ind w:hanging="480" w:left="3360"/>
      </w:pPr>
    </w:lvl>
    <w:lvl w:ilvl="5">
      <w:start w:val="7"/>
      <w:numFmt w:val="decimal"/>
      <w:lvlText w:val="%6."/>
      <w:lvlJc w:val="left"/>
      <w:pPr>
        <w:tabs>
          <w:tab w:pos="3600" w:val="num"/>
        </w:tabs>
        <w:ind w:hanging="480" w:left="4080"/>
      </w:pPr>
    </w:lvl>
    <w:lvl w:ilvl="6">
      <w:start w:val="7"/>
      <w:numFmt w:val="decimal"/>
      <w:lvlText w:val="%7."/>
      <w:lvlJc w:val="left"/>
      <w:pPr>
        <w:tabs>
          <w:tab w:pos="4320" w:val="num"/>
        </w:tabs>
        <w:ind w:hanging="480" w:left="4800"/>
      </w:pPr>
    </w:lvl>
    <w:lvl w:ilvl="7">
      <w:start w:val="7"/>
      <w:numFmt w:val="decimal"/>
      <w:lvlText w:val="%8."/>
      <w:lvlJc w:val="left"/>
      <w:pPr>
        <w:tabs>
          <w:tab w:pos="5040" w:val="num"/>
        </w:tabs>
        <w:ind w:hanging="480" w:left="5520"/>
      </w:pPr>
    </w:lvl>
    <w:lvl w:ilvl="8">
      <w:start w:val="7"/>
      <w:numFmt w:val="decimal"/>
      <w:lvlText w:val="%9."/>
      <w:lvlJc w:val="left"/>
      <w:pPr>
        <w:tabs>
          <w:tab w:pos="5760" w:val="num"/>
        </w:tabs>
        <w:ind w:hanging="480" w:left="6240"/>
      </w:pPr>
    </w:lvl>
  </w:abstractNum>
  <w:abstractNum w15:restartNumberingAfterBreak="0" w:abstractNumId="3">
    <w:nsid w:val="71315DCA"/>
    <w:multiLevelType w:val="multilevel"/>
    <w:tmpl w:val="8F1A713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66442937" w:numId="1">
    <w:abstractNumId w:val="1"/>
  </w:num>
  <w:num w16cid:durableId="611596762" w:numId="2">
    <w:abstractNumId w:val="0"/>
  </w:num>
  <w:num w16cid:durableId="388962429" w:numId="3">
    <w:abstractNumId w:val="0"/>
  </w:num>
  <w:num w16cid:durableId="1208103481" w:numId="4">
    <w:abstractNumId w:val="0"/>
  </w:num>
  <w:num w16cid:durableId="2058387244" w:numId="5">
    <w:abstractNumId w:val="0"/>
  </w:num>
  <w:num w16cid:durableId="571309507" w:numId="6">
    <w:abstractNumId w:val="0"/>
  </w:num>
  <w:num w16cid:durableId="564293530" w:numId="7">
    <w:abstractNumId w:val="0"/>
  </w:num>
  <w:num w16cid:durableId="1537962493" w:numId="8">
    <w:abstractNumId w:val="0"/>
  </w:num>
  <w:num w16cid:durableId="1458573164" w:numId="9">
    <w:abstractNumId w:val="0"/>
  </w:num>
  <w:num w16cid:durableId="2042437547" w:numId="10">
    <w:abstractNumId w:val="0"/>
  </w:num>
  <w:num w16cid:durableId="2042438987" w:numId="11">
    <w:abstractNumId w:val="0"/>
  </w:num>
  <w:num w16cid:durableId="477458780" w:numId="12">
    <w:abstractNumId w:val="0"/>
  </w:num>
  <w:num w16cid:durableId="698898323" w:numId="13">
    <w:abstractNumId w:val="0"/>
  </w:num>
  <w:num w16cid:durableId="424956732" w:numId="14">
    <w:abstractNumId w:val="0"/>
  </w:num>
  <w:num w16cid:durableId="69932026" w:numId="15">
    <w:abstractNumId w:val="0"/>
  </w:num>
  <w:num w16cid:durableId="1401829951"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0593767" w:numId="17">
    <w:abstractNumId w:val="0"/>
  </w:num>
  <w:num w16cid:durableId="293027331" w:numId="18">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1A1A1A"/>
        <w:sz w:val="22"/>
        <w:szCs w:val="22"/>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E64C3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E64C38"/>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E64C3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E64C38"/>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E64C38"/>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E64C3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E64C38"/>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E64C38"/>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E64C38"/>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color w:val="E64C38"/>
      <w:sz w:val="52"/>
      <w:szCs w:val="52"/>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val="E64C38"/>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5704A3"/>
    <w:pPr>
      <w:spacing w:after="100"/>
    </w:pPr>
  </w:style>
  <w:style w:styleId="TOC2" w:type="paragraph">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2026-08-28T03:27:43Z</dcterms:created>
  <dcterms:modified xsi:type="dcterms:W3CDTF">2026-08-28T03:27:43Z</dcterms:modified>
</cp:coreProperties>
</file>

<file path=docProps/custom.xml><?xml version="1.0" encoding="utf-8"?>
<Properties xmlns="http://schemas.openxmlformats.org/officeDocument/2006/custom-properties" xmlns:vt="http://schemas.openxmlformats.org/officeDocument/2006/docPropsVTypes"/>
</file>