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3.9.6</w:t>
      </w:r>
    </w:p>
    <w:p>
      <w:pPr>
        <w:pStyle w:val="BodyText"/>
      </w:pPr>
      <w:r>
        <w:rPr>
          <w:b/>
          <w:bCs/>
        </w:rPr>
        <w:t xml:space="preserve">Consumer Unit $2,995 · Commercial Unit $8,950 · 600+ Users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August 4, 2026 · Version 3.9.6</w:t>
      </w:r>
    </w:p>
    <w:p>
      <w:pPr>
        <w:pStyle w:val="BodyText"/>
      </w:pPr>
      <w:r>
        <w:rPr>
          <w:b/>
          <w:bCs/>
        </w:rPr>
        <w:t xml:space="preserve">v3.9.7 Changes (Session 17, August 25, 2026):</w:t>
      </w:r>
      <w:r>
        <w:t xml:space="preserve"> </w:t>
      </w:r>
      <w:r>
        <w:t xml:space="preserve">Three weeks of drift closed.</w:t>
      </w:r>
      <w:r>
        <w:t xml:space="preserve"> </w:t>
      </w:r>
      <w:r>
        <w:rPr>
          <w:b/>
          <w:bCs/>
        </w:rPr>
        <w:t xml:space="preserve">The dealer deal registration system (WF-40 to WF-43, built August 19) was missing entirely</w:t>
      </w:r>
      <w:r>
        <w:t xml:space="preserve">, along with the Opportunity custom fields it runs on and the per-dealer form model; both are now in Section 12. Content rules in Section 14 gained the US English requirement and its enforcement gate, the tanning-bed rule, the corrected prevalence figure, the HSA/FSA phrasing lock, and a pointer to the new KB Section 16 on contraindications. Section 17 records the $10M current valuation. Section 18 gains an addendum table for everything sourced since v3.9.6. Section 19 documents the facility referral arrangement and its escalation rule. Section 1 finally applies the users-not-customers correction that v3.9.6 claimed.</w:t>
      </w:r>
      <w:r>
        <w:t xml:space="preserve"> </w:t>
      </w:r>
      <w:r>
        <w:rPr>
          <w:b/>
          <w:bCs/>
        </w:rPr>
        <w:t xml:space="preserve">Where a fact could not be sourced from the repository it is marked CONFIRM rather than guessed.</w:t>
      </w:r>
    </w:p>
    <w:p>
      <w:pPr>
        <w:pStyle w:val="BodyText"/>
      </w:pPr>
      <w:r>
        <w:rPr>
          <w:b/>
          <w:bCs/>
        </w:rPr>
        <w:t xml:space="preserve">v3.9.6 Changes (Session 16, August 4, 2026):</w:t>
      </w:r>
      <w:r>
        <w:t xml:space="preserve"> </w:t>
      </w:r>
      <w:r>
        <w:rPr>
          <w:rStyle w:val="VerbatimChar"/>
        </w:rPr>
        <w:t xml:space="preserve">no_route</w:t>
      </w:r>
      <w:r>
        <w:t xml:space="preserve"> </w:t>
      </w:r>
      <w:r>
        <w:t xml:space="preserve">and</w:t>
      </w:r>
      <w:r>
        <w:t xml:space="preserve"> </w:t>
      </w:r>
      <w:r>
        <w:rPr>
          <w:rStyle w:val="VerbatimChar"/>
        </w:rPr>
        <w:t xml:space="preserve">source_device_app</w:t>
      </w:r>
      <w:r>
        <w:t xml:space="preserve"> </w:t>
      </w:r>
      <w:r>
        <w:t xml:space="preserve">added to the tag taxonomy (Section 9); the two bypass switches distinguished in Section 11, since</w:t>
      </w:r>
      <w:r>
        <w:t xml:space="preserve"> </w:t>
      </w:r>
      <w:r>
        <w:rPr>
          <w:rStyle w:val="VerbatimChar"/>
        </w:rPr>
        <w:t xml:space="preserve">drip_bypass</w:t>
      </w:r>
      <w:r>
        <w:t xml:space="preserve"> </w:t>
      </w:r>
      <w:r>
        <w:t xml:space="preserve">stops drips while</w:t>
      </w:r>
      <w:r>
        <w:t xml:space="preserve"> </w:t>
      </w:r>
      <w:r>
        <w:rPr>
          <w:rStyle w:val="VerbatimChar"/>
        </w:rPr>
        <w:t xml:space="preserve">no_route</w:t>
      </w:r>
      <w:r>
        <w:t xml:space="preserve"> </w:t>
      </w:r>
      <w:r>
        <w:t xml:space="preserve">stops WF-01 routing and confusing them has already cost time; WF-01’s full guard documented (Section 12); a WF-30 to WF-35 register added.</w:t>
      </w:r>
      <w:r>
        <w:t xml:space="preserve"> </w:t>
      </w:r>
      <w:r>
        <w:t xml:space="preserve">“600+ Customers”</w:t>
      </w:r>
      <w:r>
        <w:t xml:space="preserve"> </w:t>
      </w:r>
      <w:r>
        <w:t xml:space="preserve">corrected to</w:t>
      </w:r>
      <w:r>
        <w:t xml:space="preserve"> </w:t>
      </w:r>
      <w:r>
        <w:t xml:space="preserve">“600+ Users”</w:t>
      </w:r>
      <w:r>
        <w:t xml:space="preserve"> </w:t>
      </w:r>
      <w:r>
        <w:t xml:space="preserve">on the cover and in Section 1, since a home unit supports up to six users and the two are not interchangeable.</w:t>
      </w:r>
      <w:r>
        <w:t xml:space="preserve"> </w:t>
      </w:r>
      <w:r>
        <w:rPr>
          <w:b/>
          <w:bCs/>
        </w:rPr>
        <w:t xml:space="preserve">Live campaign copy is no longer documented in this guide.</w:t>
      </w:r>
      <w:r>
        <w:t xml:space="preserve"> </w:t>
      </w:r>
      <w:r>
        <w:t xml:space="preserve">It lives in</w:t>
      </w:r>
      <w:r>
        <w:t xml:space="preserve"> </w:t>
      </w:r>
      <w:r>
        <w:rPr>
          <w:rStyle w:val="VerbatimChar"/>
        </w:rPr>
        <w:t xml:space="preserve">campaigns/</w:t>
      </w:r>
      <w:r>
        <w:t xml:space="preserve">, one file per workflow, captured from GHL and version-controlled, so nobody maintains two copies. Also corrected the v3.9.5 phantom-completion claim below.</w:t>
      </w:r>
    </w:p>
    <w:p>
      <w:pPr>
        <w:pStyle w:val="BodyText"/>
      </w:pPr>
      <w:r>
        <w:rPr>
          <w:b/>
          <w:bCs/>
        </w:rPr>
        <w:t xml:space="preserve">v3.9.5 Changes (Session 15):</w:t>
      </w:r>
      <w:r>
        <w:t xml:space="preserve"> </w:t>
      </w:r>
      <w:r>
        <w:t xml:space="preserve">Paperclip is now operating, not just built. Heartbeats are staged and tuned (Sentinel 24h, Quality Control daily, Dispatcher 8h, Sales Outreach 1h, SDR 2h, KB Manager 30d; remaining agents staged behind a watch-cost gate; executives + Audit and Compliance + PRD Gatherer + Onboarding stay event-driven with timer OFF). Two operating rules added from the ENY-20 incident: (1)</w:t>
      </w:r>
      <w:r>
        <w:t xml:space="preserve"> </w:t>
      </w:r>
      <w:r>
        <w:rPr>
          <w:b/>
          <w:bCs/>
        </w:rPr>
        <w:t xml:space="preserve">Agents confabulate under credit starvation:</w:t>
      </w:r>
      <w:r>
        <w:t xml:space="preserve"> </w:t>
      </w:r>
      <w:r>
        <w:t xml:space="preserve">when credit-starved or budget-hard-stopped, the org produces confident, specific, FALSE claims (a QC audit and a COO</w:t>
      </w:r>
      <w:r>
        <w:t xml:space="preserve"> </w:t>
      </w:r>
      <w:r>
        <w:t xml:space="preserve">“live verification”</w:t>
      </w:r>
      <w:r>
        <w:t xml:space="preserve"> </w:t>
      </w:r>
      <w:r>
        <w:t xml:space="preserve">both reported a systemic lifecycle failure that did not exist). Verify every agent audit/verification against the live GHL account before acting; escalations are leads, not facts. (2)</w:t>
      </w:r>
      <w:r>
        <w:t xml:space="preserve"> </w:t>
      </w:r>
      <w:r>
        <w:rPr>
          <w:b/>
          <w:bCs/>
        </w:rPr>
        <w:t xml:space="preserve">Keep Anthropic credit buffered and Paperclip budgets with headroom:</w:t>
      </w:r>
      <w:r>
        <w:t xml:space="preserve"> </w:t>
      </w:r>
      <w:r>
        <w:t xml:space="preserve">starvation multiplies cost (dying runs re-wake and replay a growing thread) and is the trigger for confabulation.</w:t>
      </w:r>
      <w:r>
        <w:t xml:space="preserve"> </w:t>
      </w:r>
      <w:r>
        <w:rPr>
          <w:strike/>
        </w:rPr>
        <w:t xml:space="preserve">Open platform bug: a run that dies on a credit/budget error must go to</w:t>
      </w:r>
      <w:r>
        <w:rPr>
          <w:strike/>
        </w:rPr>
        <w:t xml:space="preserve"> </w:t>
      </w:r>
      <w:r>
        <w:rPr>
          <w:rStyle w:val="VerbatimChar"/>
          <w:strike/>
        </w:rPr>
        <w:t xml:space="preserve">blocked</w:t>
      </w:r>
      <w:r>
        <w:rPr>
          <w:strike/>
        </w:rPr>
        <w:t xml:space="preserve">, never</w:t>
      </w:r>
      <w:r>
        <w:rPr>
          <w:strike/>
        </w:rPr>
        <w:t xml:space="preserve"> </w:t>
      </w:r>
      <w:r>
        <w:rPr>
          <w:rStyle w:val="VerbatimChar"/>
          <w:strike/>
        </w:rPr>
        <w:t xml:space="preserve">done</w:t>
      </w:r>
      <w:r>
        <w:rPr>
          <w:strike/>
        </w:rPr>
        <w:t xml:space="preserve">.</w:t>
      </w:r>
      <w:r>
        <w:t xml:space="preserve"> </w:t>
      </w:r>
      <w:r>
        <w:rPr>
          <w:b/>
          <w:bCs/>
        </w:rPr>
        <w:t xml:space="preserve">RETRACTED in v3.9.6.</w:t>
      </w:r>
      <w:r>
        <w:t xml:space="preserve"> </w:t>
      </w:r>
      <w:r>
        <w:t xml:space="preserve">The recovery code was read directly: credit and budget failures route to</w:t>
      </w:r>
      <w:r>
        <w:t xml:space="preserve"> </w:t>
      </w:r>
      <w:r>
        <w:rPr>
          <w:rStyle w:val="VerbatimChar"/>
        </w:rPr>
        <w:t xml:space="preserve">blocked</w:t>
      </w:r>
      <w:r>
        <w:t xml:space="preserve"> </w:t>
      </w:r>
      <w:r>
        <w:t xml:space="preserve">and never to</w:t>
      </w:r>
      <w:r>
        <w:t xml:space="preserve"> </w:t>
      </w:r>
      <w:r>
        <w:rPr>
          <w:rStyle w:val="VerbatimChar"/>
        </w:rPr>
        <w:t xml:space="preserve">done</w:t>
      </w:r>
      <w:r>
        <w:t xml:space="preserve">, and the only path to</w:t>
      </w:r>
      <w:r>
        <w:t xml:space="preserve"> </w:t>
      </w:r>
      <w:r>
        <w:rPr>
          <w:rStyle w:val="VerbatimChar"/>
        </w:rPr>
        <w:t xml:space="preserve">done</w:t>
      </w:r>
      <w:r>
        <w:t xml:space="preserve"> </w:t>
      </w:r>
      <w:r>
        <w:t xml:space="preserve">is a legitimate watchdog fold requiring a succeeded run. The</w:t>
      </w:r>
      <w:r>
        <w:t xml:space="preserve"> </w:t>
      </w:r>
      <w:r>
        <w:t xml:space="preserve">“ENY-24 flipped to done”</w:t>
      </w:r>
      <w:r>
        <w:t xml:space="preserve"> </w:t>
      </w:r>
      <w:r>
        <w:t xml:space="preserve">report was itself a COO confabulation, which is to say an instance of rule (1) above rather than evidence for a separate defect. No platform fix is needed or pending. Consolidated open items now live in</w:t>
      </w:r>
      <w:r>
        <w:t xml:space="preserve"> </w:t>
      </w:r>
      <w:r>
        <w:rPr>
          <w:rStyle w:val="VerbatimChar"/>
        </w:rPr>
        <w:t xml:space="preserve">Enyrgy_Master_TODO.md</w:t>
      </w:r>
      <w:r>
        <w:t xml:space="preserve">.</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23" w:name="X903a202284d525ce488a2bb7897e84a177c088d"/>
    <w:p>
      <w:pPr>
        <w:pStyle w:val="Heading1"/>
      </w:pPr>
      <w:r>
        <w:t xml:space="preserve">SECTION 1: ENYRGY COMPANY CONTEXT &amp; UPDATED FACTS</w:t>
      </w:r>
    </w:p>
    <w:bookmarkStart w:id="19"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19"/>
    <w:bookmarkStart w:id="20" w:name="updated-company-metrics"/>
    <w:p>
      <w:pPr>
        <w:pStyle w:val="Heading2"/>
      </w:pPr>
      <w:r>
        <w:t xml:space="preserve">Updated Company Metrics</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Users</w:t>
            </w:r>
          </w:p>
        </w:tc>
        <w:tc>
          <w:tcPr/>
          <w:p>
            <w:pPr>
              <w:pStyle w:val="Compact"/>
              <w:jc w:val="left"/>
            </w:pPr>
            <w:r>
              <w:t xml:space="preserve">600+</w:t>
            </w:r>
          </w:p>
        </w:tc>
        <w:tc>
          <w:tcPr/>
          <w:p>
            <w:pPr>
              <w:pStyle w:val="Compact"/>
              <w:jc w:val="left"/>
            </w:pPr>
            <w:r>
              <w:t xml:space="preserve">Organic growth, zero paid advertising to date.</w:t>
            </w:r>
            <w:r>
              <w:t xml:space="preserve"> </w:t>
            </w:r>
            <w:r>
              <w:rPr>
                <w:b/>
                <w:bCs/>
              </w:rPr>
              <w:t xml:space="preserve">Say users, not customers</w:t>
            </w:r>
            <w:r>
              <w:t xml:space="preserve">: a home unit supports up to six users, so the two are not interchangeable and</w:t>
            </w:r>
            <w:r>
              <w:t xml:space="preserve"> </w:t>
            </w:r>
            <w:r>
              <w:t xml:space="preserve">“600+ customers”</w:t>
            </w:r>
            <w:r>
              <w:t xml:space="preserve"> </w:t>
            </w:r>
            <w:r>
              <w:t xml:space="preserve">overstates unit sales.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20"/>
    <w:bookmarkStart w:id="21"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21"/>
    <w:bookmarkStart w:id="22" w:name="revenue-streams-pricing"/>
    <w:p>
      <w:pPr>
        <w:pStyle w:val="Heading2"/>
      </w:pPr>
      <w:r>
        <w:t xml:space="preserve">Revenue Streams &amp; Pricing</w:t>
      </w:r>
    </w:p>
    <w:tbl>
      <w:tblPr>
        <w:tblStyle w:val="Table"/>
        <w:tblW w:type="pct" w:w="491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22"/>
    <w:bookmarkEnd w:id="23"/>
    <w:bookmarkStart w:id="29" w:name="X8b291bc1562de733447dfbc535b382740163587"/>
    <w:p>
      <w:pPr>
        <w:pStyle w:val="Heading1"/>
      </w:pPr>
      <w:r>
        <w:t xml:space="preserve">SECTION 2: AUTOMATION ARCHITECTURE: PAPERCLIP AGENT SYSTEM + HUMAN IN THE LOOP (HITL)</w:t>
      </w:r>
    </w:p>
    <w:bookmarkStart w:id="24"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24"/>
    <w:bookmarkStart w:id="25"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25"/>
    <w:bookmarkStart w:id="26"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26"/>
    <w:bookmarkStart w:id="27"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27"/>
    <w:bookmarkStart w:id="28"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28"/>
    <w:bookmarkEnd w:id="29"/>
    <w:bookmarkStart w:id="37"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30" w:name="c-suite-layer-3-agents"/>
    <w:p>
      <w:pPr>
        <w:pStyle w:val="Heading2"/>
      </w:pPr>
      <w:r>
        <w:t xml:space="preserve">C-Suite Layer (3 Agents)</w:t>
      </w:r>
    </w:p>
    <w:tbl>
      <w:tblPr>
        <w:tblStyle w:val="Table"/>
        <w:tblW w:type="pct" w:w="492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30"/>
    <w:bookmarkStart w:id="31" w:name="coo-division-7-agents"/>
    <w:p>
      <w:pPr>
        <w:pStyle w:val="Heading2"/>
      </w:pPr>
      <w:r>
        <w:t xml:space="preserve">COO Division (7 Agents)</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31"/>
    <w:bookmarkStart w:id="32" w:name="cro-division-6-agents"/>
    <w:p>
      <w:pPr>
        <w:pStyle w:val="Heading2"/>
      </w:pPr>
      <w:r>
        <w:t xml:space="preserve">CRO Division (6 Agents)</w:t>
      </w:r>
    </w:p>
    <w:tbl>
      <w:tblPr>
        <w:tblStyle w:val="Table"/>
        <w:tblW w:type="pct" w:w="4906"/>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32"/>
    <w:bookmarkStart w:id="33" w:name="agent-to-workflow-mapping"/>
    <w:p>
      <w:pPr>
        <w:pStyle w:val="Heading2"/>
      </w:pPr>
      <w:r>
        <w:t xml:space="preserve">Agent-to-Workflow Mapping</w:t>
      </w:r>
    </w:p>
    <w:tbl>
      <w:tblPr>
        <w:tblStyle w:val="Table"/>
        <w:tblW w:type="pct" w:w="489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33"/>
    <w:bookmarkStart w:id="34"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34"/>
    <w:bookmarkStart w:id="35"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35"/>
    <w:bookmarkStart w:id="36"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36"/>
    <w:bookmarkEnd w:id="37"/>
    <w:bookmarkStart w:id="38"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38"/>
    <w:bookmarkStart w:id="41" w:name="section-5-ghl-account-structure"/>
    <w:p>
      <w:pPr>
        <w:pStyle w:val="Heading1"/>
      </w:pPr>
      <w:r>
        <w:t xml:space="preserve">SECTION 5: GHL ACCOUNT STRUCTURE</w:t>
      </w:r>
    </w:p>
    <w:bookmarkStart w:id="39" w:name="key-urls"/>
    <w:p>
      <w:pPr>
        <w:pStyle w:val="Heading2"/>
      </w:pPr>
      <w:r>
        <w:t xml:space="preserve">Key URLs</w:t>
      </w:r>
    </w:p>
    <w:tbl>
      <w:tblPr>
        <w:tblStyle w:val="Table"/>
        <w:tblW w:type="pct" w:w="489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39"/>
    <w:bookmarkStart w:id="40" w:name="phone-system"/>
    <w:p>
      <w:pPr>
        <w:pStyle w:val="Heading2"/>
      </w:pPr>
      <w:r>
        <w:t xml:space="preserve">Phone System</w:t>
      </w:r>
    </w:p>
    <w:p>
      <w:pPr>
        <w:numPr>
          <w:ilvl w:val="0"/>
          <w:numId w:val="1004"/>
        </w:numPr>
      </w:pPr>
      <w:r>
        <w:t xml:space="preserve">Number: +1 888-316-1695 (Toll-Free)</w:t>
      </w:r>
    </w:p>
    <w:p>
      <w:pPr>
        <w:numPr>
          <w:ilvl w:val="0"/>
          <w:numId w:val="1004"/>
        </w:numPr>
      </w:pPr>
      <w:r>
        <w:rPr>
          <w:b/>
          <w:bCs/>
        </w:rPr>
        <w:t xml:space="preserve">Two numbers exist on purpose, do not</w:t>
      </w:r>
      <w:r>
        <w:rPr>
          <w:b/>
          <w:bCs/>
        </w:rPr>
        <w:t xml:space="preserve"> </w:t>
      </w:r>
      <w:r>
        <w:rPr>
          <w:b/>
          <w:bCs/>
        </w:rPr>
        <w:t xml:space="preserve">“correct”</w:t>
      </w:r>
      <w:r>
        <w:rPr>
          <w:b/>
          <w:bCs/>
        </w:rPr>
        <w:t xml:space="preserve"> </w:t>
      </w:r>
      <w:r>
        <w:rPr>
          <w:b/>
          <w:bCs/>
        </w:rPr>
        <w:t xml:space="preserve">one to the other.</w:t>
      </w:r>
      <w:r>
        <w:t xml:space="preserve"> </w:t>
      </w:r>
      <w:r>
        <w:t xml:space="preserve">888-316-1695 is the GHL toll-free line, A2P-verified, and is what sends SMS and places outbound calls.</w:t>
      </w:r>
      <w:r>
        <w:t xml:space="preserve"> </w:t>
      </w:r>
      <w:r>
        <w:rPr>
          <w:b/>
          <w:bCs/>
        </w:rPr>
        <w:t xml:space="preserve">602-321-0322 is Scott’s direct number</w:t>
      </w:r>
      <w:r>
        <w:t xml:space="preserve"> </w:t>
      </w:r>
      <w:r>
        <w:t xml:space="preserve">and belongs in email signatures and the team reference, where a human contact is what the reader wants. The cover, Section 7 and the signature block all use 602 deliberately.</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40"/>
    <w:bookmarkEnd w:id="41"/>
    <w:bookmarkStart w:id="42" w:name="section-6-calendar-reference"/>
    <w:p>
      <w:pPr>
        <w:pStyle w:val="Heading1"/>
      </w:pPr>
      <w:r>
        <w:t xml:space="preserve">SECTION 6: CALENDAR REFERENCE</w:t>
      </w:r>
    </w:p>
    <w:tbl>
      <w:tblPr>
        <w:tblStyle w:val="Table"/>
        <w:tblW w:type="pct" w:w="488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42"/>
    <w:bookmarkStart w:id="44" w:name="section-7-team-reference"/>
    <w:p>
      <w:pPr>
        <w:pStyle w:val="Heading1"/>
      </w:pPr>
      <w:r>
        <w:t xml:space="preserve">SECTION 7: TEAM REFERENCE</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43" w:name="funnel-ownership"/>
    <w:p>
      <w:pPr>
        <w:pStyle w:val="Heading2"/>
      </w:pPr>
      <w:r>
        <w:t xml:space="preserve">Funnel Ownership</w:t>
      </w:r>
    </w:p>
    <w:tbl>
      <w:tblPr>
        <w:tblStyle w:val="Table"/>
        <w:tblW w:type="pct" w:w="487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43"/>
    <w:bookmarkEnd w:id="44"/>
    <w:bookmarkStart w:id="52" w:name="section-8-ghl-contact-fields"/>
    <w:p>
      <w:pPr>
        <w:pStyle w:val="Heading1"/>
      </w:pPr>
      <w:r>
        <w:t xml:space="preserve">SECTION 8: GHL CONTACT FIELDS</w:t>
      </w:r>
    </w:p>
    <w:bookmarkStart w:id="45" w:name="folder-structure"/>
    <w:p>
      <w:pPr>
        <w:pStyle w:val="Heading2"/>
      </w:pPr>
      <w:r>
        <w:t xml:space="preserve">Folder Structure</w:t>
      </w:r>
    </w:p>
    <w:tbl>
      <w:tblPr>
        <w:tblStyle w:val="Table"/>
        <w:tblW w:type="pct" w:w="487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45"/>
    <w:bookmarkStart w:id="46"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46"/>
    <w:bookmarkStart w:id="47"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47"/>
    <w:bookmarkStart w:id="48"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48"/>
    <w:bookmarkStart w:id="49"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49"/>
    <w:bookmarkStart w:id="50"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50"/>
    <w:bookmarkStart w:id="51"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51"/>
    <w:bookmarkEnd w:id="52"/>
    <w:bookmarkStart w:id="53"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r>
        <w:t xml:space="preserve"> </w:t>
      </w:r>
      <w:r>
        <w:t xml:space="preserve">·</w:t>
      </w:r>
      <w:r>
        <w:t xml:space="preserve"> </w:t>
      </w:r>
      <w:r>
        <w:rPr>
          <w:b/>
          <w:bCs/>
        </w:rPr>
        <w:t xml:space="preserve">no_route</w:t>
      </w:r>
      <w:r>
        <w:t xml:space="preserve"> </w:t>
      </w:r>
      <w:r>
        <w:t xml:space="preserve">·</w:t>
      </w:r>
      <w:r>
        <w:t xml:space="preserve"> </w:t>
      </w:r>
      <w:r>
        <w:rPr>
          <w:b/>
          <w:bCs/>
        </w:rPr>
        <w:t xml:space="preserve">source_device_app</w:t>
      </w:r>
    </w:p>
    <w:bookmarkEnd w:id="53"/>
    <w:bookmarkStart w:id="54" w:name="section-10-pipelines"/>
    <w:p>
      <w:pPr>
        <w:pStyle w:val="Heading1"/>
      </w:pPr>
      <w:r>
        <w:t xml:space="preserve">SECTION 10: PIPELINES</w:t>
      </w:r>
    </w:p>
    <w:tbl>
      <w:tblPr>
        <w:tblStyle w:val="Table"/>
        <w:tblW w:type="pct" w:w="495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w:t>
            </w:r>
          </w:p>
        </w:tc>
        <w:tc>
          <w:tcPr/>
          <w:p>
            <w:pPr>
              <w:pStyle w:val="Compact"/>
              <w:jc w:val="left"/>
            </w:pPr>
            <w:r>
              <w:t xml:space="preserve">New Lead -&gt; Website Visit -&gt; Drip Active -&gt; Discovery Call -&gt; Demo Education -&gt; Order Financing -&gt; Ordered -&gt; Unit Shipped -&gt; User Activated -&gt; Active Customer</w:t>
            </w:r>
          </w:p>
        </w:tc>
      </w:tr>
      <w:tr>
        <w:tc>
          <w:tcPr/>
          <w:p>
            <w:pPr>
              <w:pStyle w:val="Compact"/>
              <w:jc w:val="left"/>
            </w:pPr>
            <w:r>
              <w:t xml:space="preserve">2 Commercial B2B Pipeline</w:t>
            </w:r>
          </w:p>
        </w:tc>
        <w:tc>
          <w:tcPr/>
          <w:p>
            <w:pPr>
              <w:pStyle w:val="Compact"/>
              <w:jc w:val="left"/>
            </w:pPr>
            <w:r>
              <w:t xml:space="preserve">Registration Submitted -&gt; Conflict Check -&gt; Prospect -&gt; Drip Active -&gt; Discovery -&gt; Proposal -&gt; Negotiation -&gt; Contract Signed -&gt; Unit Shipped -&gt; User Activated -&gt; Installation -&gt; Training</w:t>
            </w:r>
            <w:r>
              <w:t xml:space="preserve"> </w:t>
            </w:r>
            <w:r>
              <w:t xml:space="preserve">Scheduled -&gt; Training Complete -&gt; Active Customer</w:t>
            </w:r>
          </w:p>
        </w:tc>
      </w:tr>
      <w:tr>
        <w:tc>
          <w:tcPr/>
          <w:p>
            <w:pPr>
              <w:pStyle w:val="Compact"/>
              <w:jc w:val="left"/>
            </w:pPr>
            <w:r>
              <w:t xml:space="preserve">3 Investor ($3.5M Raise)</w:t>
            </w:r>
          </w:p>
        </w:tc>
        <w:tc>
          <w:tcPr/>
          <w:p>
            <w:pPr>
              <w:pStyle w:val="Compact"/>
              <w:jc w:val="left"/>
            </w:pPr>
            <w:r>
              <w:t xml:space="preserve">Identified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p>
      <w:pPr>
        <w:pStyle w:val="BodyText"/>
      </w:pPr>
      <w:r>
        <w:rPr>
          <w:b/>
          <w:bCs/>
        </w:rPr>
        <w:t xml:space="preserve">Stage probability is set deliberately, not by the default ladder.</w:t>
      </w:r>
      <w:r>
        <w:t xml:space="preserve"> </w:t>
      </w:r>
      <w:r>
        <w:t xml:space="preserve">GoHighLevel assigns probability by stage position when a pipeline is built, which spreads stages evenly from 0 to 100 and produces nonsense at both ends. Both revenue pipelines were corrected on 2026-08-18.</w:t>
      </w:r>
    </w:p>
    <w:p>
      <w:pPr>
        <w:pStyle w:val="BodyText"/>
      </w:pPr>
      <w:r>
        <w:t xml:space="preserve">The rule: probability is the chance of</w:t>
      </w:r>
      <w:r>
        <w:t xml:space="preserve"> </w:t>
      </w:r>
      <w:r>
        <w:rPr>
          <w:i/>
          <w:iCs/>
        </w:rPr>
        <w:t xml:space="preserve">winning</w:t>
      </w:r>
      <w:r>
        <w:t xml:space="preserve">, so it climbs through the sales stages and hits 100 at the point money is committed. Everything after that point is fulfillment, not forecast, and stays at 100.</w:t>
      </w:r>
    </w:p>
    <w:p>
      <w:pPr>
        <w:pStyle w:val="Compact"/>
        <w:numPr>
          <w:ilvl w:val="0"/>
          <w:numId w:val="1006"/>
        </w:numPr>
      </w:pPr>
      <w:r>
        <w:rPr>
          <w:b/>
          <w:bCs/>
        </w:rPr>
        <w:t xml:space="preserve">Commercial B2B:</w:t>
      </w:r>
      <w:r>
        <w:t xml:space="preserve"> </w:t>
      </w:r>
      <w:r>
        <w:t xml:space="preserve">Registration Submitted 0, Conflict Check 0, Prospect 5, Drip Active 10, Discovery 25, Proposal 50, Negotiation 75, then</w:t>
      </w:r>
      <w:r>
        <w:t xml:space="preserve"> </w:t>
      </w:r>
      <w:r>
        <w:rPr>
          <w:b/>
          <w:bCs/>
        </w:rPr>
        <w:t xml:space="preserve">Contract Signed 100</w:t>
      </w:r>
      <w:r>
        <w:t xml:space="preserve"> </w:t>
      </w:r>
      <w:r>
        <w:t xml:space="preserve">and every stage after it 100.</w:t>
      </w:r>
    </w:p>
    <w:p>
      <w:pPr>
        <w:pStyle w:val="Compact"/>
        <w:numPr>
          <w:ilvl w:val="0"/>
          <w:numId w:val="1006"/>
        </w:numPr>
      </w:pPr>
      <w:r>
        <w:rPr>
          <w:b/>
          <w:bCs/>
        </w:rPr>
        <w:t xml:space="preserve">Consumer:</w:t>
      </w:r>
      <w:r>
        <w:t xml:space="preserve"> </w:t>
      </w:r>
      <w:r>
        <w:t xml:space="preserve">New Lead 5, Website Visit 10, Drip Active 15, Discovery Call 30, Demo Education 45, Order Financing 70, then</w:t>
      </w:r>
      <w:r>
        <w:t xml:space="preserve"> </w:t>
      </w:r>
      <w:r>
        <w:rPr>
          <w:b/>
          <w:bCs/>
        </w:rPr>
        <w:t xml:space="preserve">Ordered 100</w:t>
      </w:r>
      <w:r>
        <w:t xml:space="preserve"> </w:t>
      </w:r>
      <w:r>
        <w:t xml:space="preserve">and every stage after it 100.</w:t>
      </w:r>
    </w:p>
    <w:p>
      <w:pPr>
        <w:pStyle w:val="FirstParagraph"/>
      </w:pPr>
      <w:r>
        <w:t xml:space="preserve">Registration Submitted and Conflict Check are also excluded from the funnel and pie charts. A dealer submission that has not cleared the conflict check is not a deal, and counting it distorts every conversion rate downstream.</w:t>
      </w:r>
    </w:p>
    <w:p>
      <w:pPr>
        <w:pStyle w:val="BodyText"/>
      </w:pPr>
      <w:r>
        <w:t xml:space="preserve">Stage and status are separate fields. A deal at Contract Signed still sits in the forecast until its</w:t>
      </w:r>
      <w:r>
        <w:t xml:space="preserve"> </w:t>
      </w:r>
      <w:r>
        <w:rPr>
          <w:b/>
          <w:bCs/>
        </w:rPr>
        <w:t xml:space="preserve">Status</w:t>
      </w:r>
      <w:r>
        <w:t xml:space="preserve"> </w:t>
      </w:r>
      <w:r>
        <w:t xml:space="preserve">flips to Won, so the close workflow sets both.</w:t>
      </w:r>
    </w:p>
    <w:bookmarkEnd w:id="54"/>
    <w:bookmarkStart w:id="60" w:name="section-11-drip-campaigns"/>
    <w:p>
      <w:pPr>
        <w:pStyle w:val="Heading1"/>
      </w:pPr>
      <w:r>
        <w:t xml:space="preserve">SECTION 11: DRIP CAMPAIGNS</w:t>
      </w:r>
    </w:p>
    <w:bookmarkStart w:id="55" w:name="campaign-overview"/>
    <w:p>
      <w:pPr>
        <w:pStyle w:val="Heading2"/>
      </w:pPr>
      <w:r>
        <w:t xml:space="preserve">Campaign Overview</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7</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55"/>
    <w:bookmarkStart w:id="56" w:name="bypass-logic"/>
    <w:p>
      <w:pPr>
        <w:pStyle w:val="Heading2"/>
      </w:pPr>
      <w:r>
        <w:t xml:space="preserve">Bypass Logic</w:t>
      </w:r>
    </w:p>
    <w:p>
      <w:pPr>
        <w:pStyle w:val="FirstParagraph"/>
      </w:pPr>
      <w:r>
        <w:rPr>
          <w:b/>
          <w:bCs/>
        </w:rPr>
        <w:t xml:space="preserve">Two different switches. Do not confuse them, this has caused confusion once already.</w:t>
      </w:r>
    </w:p>
    <w:p>
      <w:pPr>
        <w:numPr>
          <w:ilvl w:val="0"/>
          <w:numId w:val="1007"/>
        </w:numPr>
      </w:pPr>
      <w:r>
        <w:rPr>
          <w:rStyle w:val="VerbatimChar"/>
          <w:b/>
          <w:bCs/>
        </w:rPr>
        <w:t xml:space="preserve">drip_bypass</w:t>
      </w:r>
      <w:r>
        <w:rPr>
          <w:b/>
          <w:bCs/>
        </w:rPr>
        <w:t xml:space="preserve"> </w:t>
      </w:r>
      <w:r>
        <w:rPr>
          <w:b/>
          <w:bCs/>
        </w:rPr>
        <w:t xml:space="preserve">stops DRIPS, not routing.</w:t>
      </w:r>
      <w:r>
        <w:t xml:space="preserve"> </w:t>
      </w:r>
      <w:r>
        <w:t xml:space="preserve">It is read at the Bypass Check that opens each of the five drips. WF-01 New Lead Router does not check it, so a contact carrying</w:t>
      </w:r>
      <w:r>
        <w:t xml:space="preserve"> </w:t>
      </w:r>
      <w:r>
        <w:rPr>
          <w:rStyle w:val="VerbatimChar"/>
        </w:rPr>
        <w:t xml:space="preserve">drip_bypass</w:t>
      </w:r>
      <w:r>
        <w:t xml:space="preserve"> </w:t>
      </w:r>
      <w:r>
        <w:t xml:space="preserve">is still routed and still receives</w:t>
      </w:r>
      <w:r>
        <w:t xml:space="preserve"> </w:t>
      </w:r>
      <w:r>
        <w:rPr>
          <w:rStyle w:val="VerbatimChar"/>
        </w:rPr>
        <w:t xml:space="preserve">type_consumer</w:t>
      </w:r>
      <w:r>
        <w:t xml:space="preserve">.</w:t>
      </w:r>
    </w:p>
    <w:p>
      <w:pPr>
        <w:numPr>
          <w:ilvl w:val="0"/>
          <w:numId w:val="1007"/>
        </w:numPr>
      </w:pPr>
      <w:r>
        <w:rPr>
          <w:rStyle w:val="VerbatimChar"/>
          <w:b/>
          <w:bCs/>
        </w:rPr>
        <w:t xml:space="preserve">no_route</w:t>
      </w:r>
      <w:r>
        <w:rPr>
          <w:b/>
          <w:bCs/>
        </w:rPr>
        <w:t xml:space="preserve"> </w:t>
      </w:r>
      <w:r>
        <w:rPr>
          <w:b/>
          <w:bCs/>
        </w:rPr>
        <w:t xml:space="preserve">stops WF-01 (added August 4, 2026).</w:t>
      </w:r>
      <w:r>
        <w:t xml:space="preserve"> </w:t>
      </w:r>
      <w:r>
        <w:t xml:space="preserve">It is the permanent off-switch for imports, tests, staff on other domains, and partners. It replaces the old practice of unpublishing WF-01 during an import and remembering to republish it, which was itself a hazard: a silently unpublished router stops routing everything with nothing erroring.</w:t>
      </w:r>
    </w:p>
    <w:p>
      <w:pPr>
        <w:numPr>
          <w:ilvl w:val="0"/>
          <w:numId w:val="1007"/>
        </w:numPr>
      </w:pPr>
      <w:r>
        <w:t xml:space="preserve">Apply drip_bypass + investor_warm to skip cold drip and enroll in the warm sequence.</w:t>
      </w:r>
    </w:p>
    <w:p>
      <w:pPr>
        <w:numPr>
          <w:ilvl w:val="0"/>
          <w:numId w:val="1007"/>
        </w:numPr>
      </w:pPr>
      <w:r>
        <w:t xml:space="preserve">Apply drip_bypass alone to skip all drip enrollment for manually managed contacts.</w:t>
      </w:r>
    </w:p>
    <w:p>
      <w:pPr>
        <w:numPr>
          <w:ilvl w:val="0"/>
          <w:numId w:val="1007"/>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56"/>
    <w:bookmarkStart w:id="57"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57"/>
    <w:bookmarkStart w:id="58" w:name="consumer-drip-12-touch-sequence"/>
    <w:p>
      <w:pPr>
        <w:pStyle w:val="Heading2"/>
      </w:pPr>
      <w:r>
        <w:t xml:space="preserve">Consumer Drip, 12 Touch Sequence</w:t>
      </w:r>
    </w:p>
    <w:tbl>
      <w:tblPr>
        <w:tblStyle w:val="Table"/>
        <w:tblW w:type="pct" w:w="492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58"/>
    <w:bookmarkStart w:id="59" w:name="investor-drip-8-touch-sequence"/>
    <w:p>
      <w:pPr>
        <w:pStyle w:val="Heading2"/>
      </w:pPr>
      <w:r>
        <w:t xml:space="preserve">Investor Drip, 8 Touch Sequence</w:t>
      </w:r>
    </w:p>
    <w:tbl>
      <w:tblPr>
        <w:tblStyle w:val="Table"/>
        <w:tblW w:type="pct" w:w="4908"/>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59"/>
    <w:bookmarkEnd w:id="60"/>
    <w:bookmarkStart w:id="69" w:name="section-12-core-workflows"/>
    <w:p>
      <w:pPr>
        <w:pStyle w:val="Heading1"/>
      </w:pPr>
      <w:r>
        <w:t xml:space="preserve">SECTION 12: CORE WORKFLOWS</w:t>
      </w:r>
    </w:p>
    <w:bookmarkStart w:id="61" w:name="wf-01-through-wf-10"/>
    <w:p>
      <w:pPr>
        <w:pStyle w:val="Heading2"/>
      </w:pPr>
      <w:r>
        <w:t xml:space="preserve">WF-01 through WF-10</w:t>
      </w:r>
    </w:p>
    <w:tbl>
      <w:tblPr>
        <w:tblStyle w:val="Table"/>
        <w:tblW w:type="pct" w:w="493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rPr>
                <w:b/>
                <w:bCs/>
              </w:rPr>
              <w:t xml:space="preserve">GUARDED (Aug 1, 4 and 7).</w:t>
            </w:r>
            <w:r>
              <w:t xml:space="preserve"> </w:t>
            </w:r>
            <w:r>
              <w:t xml:space="preserve">After Wait 1 Minute, a Device User Check continues only when</w:t>
            </w:r>
            <w:r>
              <w:t xml:space="preserve"> </w:t>
            </w:r>
            <w:r>
              <w:rPr>
                <w:rStyle w:val="VerbatimChar"/>
              </w:rPr>
              <w:t xml:space="preserve">Tags does NOT include source_device_app AND Email does not contain @enyrgy.com AND Tags does NOT include no_route AND Email is not empty</w:t>
            </w:r>
            <w:r>
              <w:t xml:space="preserve">; otherwise END. The device clause keeps Outcode-created users out of lead nurture. The domain and no_route clauses close the leak where inbound mail to mg.enyrgy.com created contacts that fell through to</w:t>
            </w:r>
            <w:r>
              <w:t xml:space="preserve"> </w:t>
            </w:r>
            <w:r>
              <w:rPr>
                <w:rStyle w:val="VerbatimChar"/>
              </w:rPr>
              <w:t xml:space="preserve">Default Consumer</w:t>
            </w:r>
            <w:r>
              <w:t xml:space="preserve"> </w:t>
            </w:r>
            <w:r>
              <w:t xml:space="preserve">and entered the Consumer Drip.</w:t>
            </w:r>
            <w:r>
              <w:t xml:space="preserve"> </w:t>
            </w:r>
            <w:r>
              <w:rPr>
                <w:b/>
                <w:bCs/>
              </w:rPr>
              <w:t xml:space="preserve">The</w:t>
            </w:r>
            <w:r>
              <w:rPr>
                <w:b/>
                <w:bCs/>
              </w:rPr>
              <w:t xml:space="preserve"> </w:t>
            </w:r>
            <w:r>
              <w:rPr>
                <w:rStyle w:val="VerbatimChar"/>
                <w:b/>
                <w:bCs/>
              </w:rPr>
              <w:t xml:space="preserve">Email is not empty</w:t>
            </w:r>
            <w:r>
              <w:rPr>
                <w:b/>
                <w:bCs/>
              </w:rPr>
              <w:t xml:space="preserve"> </w:t>
            </w:r>
            <w:r>
              <w:rPr>
                <w:b/>
                <w:bCs/>
              </w:rPr>
              <w:t xml:space="preserve">clause (Aug 7) stops inbound phone calls becoming consumer leads.</w:t>
            </w:r>
            <w:r>
              <w:t xml:space="preserve"> </w:t>
            </w:r>
            <w:r>
              <w:t xml:space="preserve">GHL creates a contact for every inbound call, and routing one accomplishes nothing: with no email the Consumer Drip cannot send, and with no SMS Consent WF-02’s gate blocks the text. The only effects were tags and a spurious Opportunity in the Consumer Product Pipeline. Every genuine lead source captures an email, so email-less contacts are effectively only ever call-created.</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61"/>
    <w:bookmarkStart w:id="62" w:name="X5bc6bf71dba644c700ee4f719d5b4f05d19bbd5"/>
    <w:p>
      <w:pPr>
        <w:pStyle w:val="Heading2"/>
      </w:pPr>
      <w:r>
        <w:t xml:space="preserve">WF-11 through WF-20 (Consumer Funnel, all four magnets live)</w:t>
      </w:r>
    </w:p>
    <w:tbl>
      <w:tblPr>
        <w:tblStyle w:val="Table"/>
        <w:tblW w:type="pct" w:w="493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62"/>
    <w:bookmarkStart w:id="63" w:name="X8d435e32d4d50adbb3dde89b2f7d1b6ee32f88d"/>
    <w:p>
      <w:pPr>
        <w:pStyle w:val="Heading2"/>
      </w:pPr>
      <w:r>
        <w:t xml:space="preserve">WF-21 through WF-29 (added Sessions 9 to 11,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Numbering gaps, resolved.</w:t>
      </w:r>
      <w:r>
        <w:t xml:space="preserve"> </w:t>
      </w:r>
      <w:r>
        <w:rPr>
          <w:b/>
          <w:bCs/>
        </w:rPr>
        <w:t xml:space="preserve">WF-23, WF-24 and WF-36 to WF-39 do not exist.</w:t>
      </w:r>
      <w:r>
        <w:t xml:space="preserve"> </w:t>
      </w:r>
      <w:r>
        <w:t xml:space="preserve">The numbers were skipped when the blocks were allocated (confirmed by Scott, 2026-08-25). Nothing is missing from this register, and nobody should go looking for them in the live account. The dealer registration block starts at WF-40.</w:t>
      </w:r>
    </w:p>
    <w:bookmarkEnd w:id="63"/>
    <w:bookmarkStart w:id="64" w:name="X9810ec7f62b2338d56466c983e3d36a26fc107d"/>
    <w:p>
      <w:pPr>
        <w:pStyle w:val="Heading2"/>
      </w:pPr>
      <w:r>
        <w:t xml:space="preserve">WF-30 through WF-35 (added Sessions 15 and 16)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WF-30 FlexOffers Sale Postback</w:t>
            </w:r>
          </w:p>
        </w:tc>
        <w:tc>
          <w:tcPr/>
          <w:p>
            <w:pPr>
              <w:pStyle w:val="Compact"/>
            </w:pPr>
            <w:r>
              <w:t xml:space="preserve">Shopify Order fulfilled (Home System filter)</w:t>
            </w:r>
          </w:p>
        </w:tc>
        <w:tc>
          <w:tcPr/>
          <w:p>
            <w:pPr>
              <w:pStyle w:val="Compact"/>
            </w:pPr>
            <w:r>
              <w:t xml:space="preserve">Fire the S2S postback that pays the affiliate $600</w:t>
            </w:r>
          </w:p>
        </w:tc>
        <w:tc>
          <w:tcPr/>
          <w:p>
            <w:pPr>
              <w:pStyle w:val="Compact"/>
            </w:pP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remain UNVERIFIED. Check Execution Logs on the first real affiliate sale.</w:t>
            </w:r>
          </w:p>
        </w:tc>
      </w:tr>
      <w:tr>
        <w:tc>
          <w:tcPr/>
          <w:p>
            <w:pPr>
              <w:pStyle w:val="Compact"/>
            </w:pPr>
            <w:r>
              <w:t xml:space="preserve">WF-31 FlexOffers First Touch</w:t>
            </w:r>
          </w:p>
        </w:tc>
        <w:tc>
          <w:tcPr/>
          <w:p>
            <w:pPr>
              <w:pStyle w:val="Compact"/>
            </w:pPr>
            <w:r>
              <w:rPr>
                <w:b/>
                <w:bCs/>
              </w:rPr>
              <w:t xml:space="preserve">Contact Created</w:t>
            </w:r>
            <w:r>
              <w:t xml:space="preserve"> </w:t>
            </w:r>
            <w:r>
              <w:t xml:space="preserve">(unfiltered)</w:t>
            </w:r>
          </w:p>
        </w:tc>
        <w:tc>
          <w:tcPr/>
          <w:p>
            <w:pPr>
              <w:pStyle w:val="Compact"/>
            </w:pPr>
            <w:r>
              <w:t xml:space="preserve">Enforce first-in + new-contacts-only attribution</w:t>
            </w:r>
          </w:p>
        </w:tc>
        <w:tc>
          <w:tcPr/>
          <w:p>
            <w:pPr>
              <w:pStyle w:val="Compact"/>
            </w:pPr>
            <w:r>
              <w:t xml:space="preserve">Wait 2 minutes so custom fields finish writing, then copy</w:t>
            </w:r>
            <w:r>
              <w:t xml:space="preserve"> </w:t>
            </w:r>
            <w:r>
              <w:rPr>
                <w:rStyle w:val="VerbatimChar"/>
              </w:rPr>
              <w:t xml:space="preserve">flexoffers_refid_incoming</w:t>
            </w:r>
            <w:r>
              <w:t xml:space="preserve"> </w:t>
            </w:r>
            <w:r>
              <w:t xml:space="preserve">to</w:t>
            </w:r>
            <w:r>
              <w:t xml:space="preserve"> </w:t>
            </w:r>
            <w:r>
              <w:rPr>
                <w:rStyle w:val="VerbatimChar"/>
              </w:rPr>
              <w:t xml:space="preserve">flexoffers_refid</w:t>
            </w:r>
            <w:r>
              <w:t xml:space="preserve"> </w:t>
            </w:r>
            <w:r>
              <w:t xml:space="preserve">only when the latter is empty.</w:t>
            </w:r>
            <w:r>
              <w:t xml:space="preserve"> </w:t>
            </w:r>
            <w:r>
              <w:rPr>
                <w:b/>
                <w:bCs/>
              </w:rPr>
              <w:t xml:space="preserve">A second Contact Created trigger, which the Session 10 audit predates. Any import must re-check for Contact Created triggers rather than trusting that audit.</w:t>
            </w:r>
          </w:p>
        </w:tc>
      </w:tr>
      <w:tr>
        <w:tc>
          <w:tcPr/>
          <w:p>
            <w:pPr>
              <w:pStyle w:val="Compact"/>
            </w:pPr>
            <w:r>
              <w:t xml:space="preserve">WF-32 / 33 / 34 Device App Integration</w:t>
            </w:r>
          </w:p>
        </w:tc>
        <w:tc>
          <w:tcPr/>
          <w:p>
            <w:pPr>
              <w:pStyle w:val="Compact"/>
            </w:pPr>
            <w:r>
              <w:t xml:space="preserve">Inbound Webhook (Outcode)</w:t>
            </w:r>
          </w:p>
        </w:tc>
        <w:tc>
          <w:tcPr/>
          <w:p>
            <w:pPr>
              <w:pStyle w:val="Compact"/>
            </w:pPr>
            <w:r>
              <w:t xml:space="preserve">New users on existing devices</w:t>
            </w:r>
          </w:p>
        </w:tc>
        <w:tc>
          <w:tcPr/>
          <w:p>
            <w:pPr>
              <w:pStyle w:val="Compact"/>
            </w:pPr>
            <w:r>
              <w:rPr>
                <w:b/>
                <w:bCs/>
              </w:rPr>
              <w:t xml:space="preserve">NOT BUILT.</w:t>
            </w:r>
            <w:r>
              <w:t xml:space="preserve"> </w:t>
            </w:r>
            <w:r>
              <w:t xml:space="preserve">Awaiting Outcode. Spec sent, four webhook URLs delivered. WF-01’s</w:t>
            </w:r>
            <w:r>
              <w:t xml:space="preserve"> </w:t>
            </w:r>
            <w:r>
              <w:rPr>
                <w:rStyle w:val="VerbatimChar"/>
              </w:rPr>
              <w:t xml:space="preserve">source_device_app</w:t>
            </w:r>
            <w:r>
              <w:t xml:space="preserve"> </w:t>
            </w:r>
            <w:r>
              <w:t xml:space="preserve">guard is already in place ahead of it.</w:t>
            </w:r>
          </w:p>
        </w:tc>
      </w:tr>
      <w:tr>
        <w:tc>
          <w:tcPr/>
          <w:p>
            <w:pPr>
              <w:pStyle w:val="Compact"/>
            </w:pPr>
            <w:r>
              <w:t xml:space="preserve">WF-35 Customer Replied Notification</w:t>
            </w:r>
          </w:p>
        </w:tc>
        <w:tc>
          <w:tcPr/>
          <w:p>
            <w:pPr>
              <w:pStyle w:val="Compact"/>
            </w:pPr>
            <w:r>
              <w:rPr>
                <w:b/>
                <w:bCs/>
              </w:rPr>
              <w:t xml:space="preserve">Customer Replied</w:t>
            </w:r>
            <w:r>
              <w:t xml:space="preserve"> </w:t>
            </w:r>
            <w:r>
              <w:t xml:space="preserve">(no filters)</w:t>
            </w:r>
          </w:p>
        </w:tc>
        <w:tc>
          <w:tcPr/>
          <w:p>
            <w:pPr>
              <w:pStyle w:val="Compact"/>
            </w:pPr>
            <w:r>
              <w:t xml:space="preserve">Put the actual reply text in an email to whoever owns the contact</w:t>
            </w:r>
          </w:p>
        </w:tc>
        <w:tc>
          <w:tcPr/>
          <w:p>
            <w:pPr>
              <w:pStyle w:val="Compact"/>
            </w:pPr>
            <w:r>
              <w:t xml:space="preserve">LIVE and fully verified Aug 4. If/Else on</w:t>
            </w:r>
            <w:r>
              <w:t xml:space="preserve"> </w:t>
            </w:r>
            <w:r>
              <w:rPr>
                <w:rStyle w:val="VerbatimChar"/>
              </w:rPr>
              <w:t xml:space="preserve">Assigned user Is not empty</w:t>
            </w:r>
            <w:r>
              <w:t xml:space="preserve">; the None branch notifies Scott with a</w:t>
            </w:r>
            <w:r>
              <w:t xml:space="preserve"> </w:t>
            </w:r>
            <w:r>
              <w:rPr>
                <w:rStyle w:val="VerbatimChar"/>
              </w:rPr>
              <w:t xml:space="preserve">NO OWNER:</w:t>
            </w:r>
            <w:r>
              <w:t xml:space="preserve"> </w:t>
            </w:r>
            <w:r>
              <w:t xml:space="preserve">subject prefix. Allow Re-Entry ON, verified. Full capture in</w:t>
            </w:r>
            <w:r>
              <w:t xml:space="preserve"> </w:t>
            </w:r>
            <w:r>
              <w:rPr>
                <w:rStyle w:val="VerbatimChar"/>
              </w:rPr>
              <w:t xml:space="preserve">campaigns/WF-35-customer-replied.md</w:t>
            </w:r>
            <w:r>
              <w:t xml:space="preserve">.</w:t>
            </w:r>
          </w:p>
        </w:tc>
      </w:tr>
    </w:tbl>
    <w:p>
      <w:pPr>
        <w:pStyle w:val="BodyText"/>
      </w:pPr>
      <w:r>
        <w:rPr>
          <w:b/>
          <w:bCs/>
        </w:rPr>
        <w:t xml:space="preserve">Why WF-35 exists.</w:t>
      </w:r>
      <w:r>
        <w:t xml:space="preserve"> </w:t>
      </w:r>
      <w:r>
        <w:t xml:space="preserve">GHL’s built-in Conversation Notification carries no message text, proven with a marker string, and its reply path addresses</w:t>
      </w:r>
      <w:r>
        <w:t xml:space="preserve"> </w:t>
      </w:r>
      <w:r>
        <w:rPr>
          <w:rStyle w:val="VerbatimChar"/>
        </w:rPr>
        <w:t xml:space="preserve">scott@mg.enyrgy.com</w:t>
      </w:r>
      <w:r>
        <w:t xml:space="preserve">, Scott’s own sending-subdomain address, so replying to it reaches nobody without erroring.</w:t>
      </w:r>
    </w:p>
    <w:p>
      <w:pPr>
        <w:pStyle w:val="BodyText"/>
      </w:pPr>
      <w:r>
        <w:rPr>
          <w:b/>
          <w:bCs/>
        </w:rPr>
        <w:t xml:space="preserve">Live campaign copy is not in this guide.</w:t>
      </w:r>
      <w:r>
        <w:t xml:space="preserve"> </w:t>
      </w:r>
      <w:r>
        <w:t xml:space="preserve">Every email and SMS across all 19 workflows lives in</w:t>
      </w:r>
      <w:r>
        <w:t xml:space="preserve"> </w:t>
      </w:r>
      <w:r>
        <w:rPr>
          <w:rStyle w:val="VerbatimChar"/>
        </w:rPr>
        <w:t xml:space="preserve">campaigns/</w:t>
      </w:r>
      <w:r>
        <w:t xml:space="preserve">, one file per workflow, captured from GHL with a per-workflow change log. GHL remains the source of truth: change GHL first, then update the file.</w:t>
      </w:r>
    </w:p>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64"/>
    <w:bookmarkStart w:id="65" w:name="X3c4738bc9843a482d60919c864badabe81e6734"/>
    <w:p>
      <w:pPr>
        <w:pStyle w:val="Heading2"/>
      </w:pPr>
      <w:r>
        <w:t xml:space="preserve">WF-40 through WF-43 (Dealer Deal Registration, built August 19, 2026)</w:t>
      </w:r>
    </w:p>
    <w:p>
      <w:pPr>
        <w:pStyle w:val="FirstParagraph"/>
      </w:pPr>
      <w:r>
        <w:t xml:space="preserve">The commercial dealer program. Dealers resell the $8,950 commercial unit and earn 25 to 16 percent on the final sale price.</w:t>
      </w:r>
      <w:r>
        <w:t xml:space="preserve"> </w:t>
      </w:r>
      <w:r>
        <w:rPr>
          <w:b/>
          <w:bCs/>
        </w:rPr>
        <w:t xml:space="preserve">This is a different program from the facility referral arrangement in Section 19</w:t>
      </w:r>
      <w:r>
        <w:t xml:space="preserve">: different product, different terms, different people.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262"/>
        <w:gridCol w:w="2036"/>
        <w:gridCol w:w="2036"/>
        <w:gridCol w:w="1584"/>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Notes</w:t>
            </w:r>
          </w:p>
        </w:tc>
      </w:tr>
      <w:tr>
        <w:tc>
          <w:tcPr/>
          <w:p>
            <w:pPr>
              <w:pStyle w:val="Compact"/>
            </w:pPr>
            <w:r>
              <w:t xml:space="preserve">WF-40 Dealer Registration Received</w:t>
            </w:r>
          </w:p>
        </w:tc>
        <w:tc>
          <w:tcPr/>
          <w:p>
            <w:pPr>
              <w:pStyle w:val="Compact"/>
            </w:pPr>
            <w:r>
              <w:rPr>
                <w:b/>
                <w:bCs/>
              </w:rPr>
              <w:t xml:space="preserve">Form is any of</w:t>
            </w:r>
            <w:r>
              <w:t xml:space="preserve"> </w:t>
            </w:r>
            <w:r>
              <w:t xml:space="preserve">(one entry per dealer form)</w:t>
            </w:r>
          </w:p>
        </w:tc>
        <w:tc>
          <w:tcPr/>
          <w:p>
            <w:pPr>
              <w:pStyle w:val="Compact"/>
            </w:pPr>
            <w:r>
              <w:t xml:space="preserve">Create the opportunity, tag it, set</w:t>
            </w:r>
            <w:r>
              <w:t xml:space="preserve"> </w:t>
            </w:r>
            <w:r>
              <w:rPr>
                <w:rStyle w:val="VerbatimChar"/>
              </w:rPr>
              <w:t xml:space="preserve">Source Type = Dealer</w:t>
            </w:r>
            <w:r>
              <w:t xml:space="preserve">, apply</w:t>
            </w:r>
            <w:r>
              <w:t xml:space="preserve"> </w:t>
            </w:r>
            <w:r>
              <w:rPr>
                <w:rStyle w:val="VerbatimChar"/>
              </w:rPr>
              <w:t xml:space="preserve">no_route</w:t>
            </w:r>
            <w:r>
              <w:t xml:space="preserve">, alert Scott</w:t>
            </w:r>
          </w:p>
        </w:tc>
        <w:tc>
          <w:tcPr/>
          <w:p>
            <w:pPr>
              <w:pStyle w:val="Compact"/>
            </w:pPr>
            <w:r>
              <w:rPr>
                <w:b/>
                <w:bCs/>
              </w:rPr>
              <w:t xml:space="preserve">The trigger list is the single point of failure in the whole system.</w:t>
            </w:r>
            <w:r>
              <w:t xml:space="preserve"> </w:t>
            </w:r>
            <w:r>
              <w:t xml:space="preserve">A new dealer form that is not added here fails silently: the opportunity lands in</w:t>
            </w:r>
            <w:r>
              <w:t xml:space="preserve"> </w:t>
            </w:r>
            <w:r>
              <w:rPr>
                <w:rStyle w:val="VerbatimChar"/>
              </w:rPr>
              <w:t xml:space="preserve">Registration Submitted</w:t>
            </w:r>
            <w:r>
              <w:t xml:space="preserve"> </w:t>
            </w:r>
            <w:r>
              <w:t xml:space="preserve">with no tag, no Source Type and no alert, and the facility is not protected from consumer drip because</w:t>
            </w:r>
            <w:r>
              <w:t xml:space="preserve"> </w:t>
            </w:r>
            <w:r>
              <w:rPr>
                <w:rStyle w:val="VerbatimChar"/>
              </w:rPr>
              <w:t xml:space="preserve">no_route</w:t>
            </w:r>
            <w:r>
              <w:t xml:space="preserve"> </w:t>
            </w:r>
            <w:r>
              <w:t xml:space="preserve">never lands. See</w:t>
            </w:r>
            <w:r>
              <w:t xml:space="preserve"> </w:t>
            </w:r>
            <w:r>
              <w:rPr>
                <w:rStyle w:val="VerbatimChar"/>
              </w:rPr>
              <w:t xml:space="preserve">campaigns/dealer-onboarding.md</w:t>
            </w:r>
            <w:r>
              <w:t xml:space="preserve">.</w:t>
            </w:r>
          </w:p>
        </w:tc>
      </w:tr>
      <w:tr>
        <w:tc>
          <w:tcPr/>
          <w:p>
            <w:pPr>
              <w:pStyle w:val="Compact"/>
            </w:pPr>
            <w:r>
              <w:t xml:space="preserve">WF-41 Dealer Registration Approved</w:t>
            </w:r>
          </w:p>
        </w:tc>
        <w:tc>
          <w:tcPr/>
          <w:p>
            <w:pPr>
              <w:pStyle w:val="Compact"/>
            </w:pPr>
            <w:r>
              <w:rPr>
                <w:b/>
                <w:bCs/>
              </w:rPr>
              <w:t xml:space="preserve">Pipeline Stage Changed</w:t>
            </w:r>
            <w:r>
              <w:t xml:space="preserve">, Commercial B2B Pipeline, stage</w:t>
            </w:r>
            <w:r>
              <w:t xml:space="preserve"> </w:t>
            </w:r>
            <w:r>
              <w:rPr>
                <w:rStyle w:val="VerbatimChar"/>
              </w:rPr>
              <w:t xml:space="preserve">Prospect</w:t>
            </w:r>
            <w:r>
              <w:t xml:space="preserve"> </w:t>
            </w:r>
            <w:r>
              <w:t xml:space="preserve">(plus one further condition)</w:t>
            </w:r>
          </w:p>
        </w:tc>
        <w:tc>
          <w:tcPr/>
          <w:p>
            <w:pPr>
              <w:pStyle w:val="Compact"/>
            </w:pPr>
            <w:r>
              <w:t xml:space="preserve">Confirm the registration to the dealer, but only if the clock was actually started</w:t>
            </w:r>
          </w:p>
        </w:tc>
        <w:tc>
          <w:tcPr/>
          <w:p>
            <w:pPr>
              <w:pStyle w:val="Compact"/>
            </w:pPr>
            <w:r>
              <w:t xml:space="preserve">If/Else</w:t>
            </w:r>
            <w:r>
              <w:t xml:space="preserve"> </w:t>
            </w:r>
            <w:r>
              <w:rPr>
                <w:rStyle w:val="VerbatimChar"/>
              </w:rPr>
              <w:t xml:space="preserve">Has the expiry date been set?</w:t>
            </w:r>
            <w:r>
              <w:t xml:space="preserve"> </w:t>
            </w:r>
            <w:r>
              <w:t xml:space="preserve">on</w:t>
            </w:r>
            <w:r>
              <w:t xml:space="preserve"> </w:t>
            </w:r>
            <w:r>
              <w:rPr>
                <w:rStyle w:val="VerbatimChar"/>
              </w:rPr>
              <w:t xml:space="preserve">Exclusivity Expires</w:t>
            </w:r>
            <w:r>
              <w:t xml:space="preserve">.</w:t>
            </w:r>
            <w:r>
              <w:t xml:space="preserve"> </w:t>
            </w:r>
            <w:r>
              <w:rPr>
                <w:b/>
                <w:bCs/>
              </w:rPr>
              <w:t xml:space="preserve">Date is set</w:t>
            </w:r>
            <w:r>
              <w:t xml:space="preserve"> </w:t>
            </w:r>
            <w:r>
              <w:t xml:space="preserve">branch sends</w:t>
            </w:r>
            <w:r>
              <w:t xml:space="preserve"> </w:t>
            </w:r>
            <w:r>
              <w:rPr>
                <w:rStyle w:val="VerbatimChar"/>
              </w:rPr>
              <w:t xml:space="preserve">Confirm registration to dealer</w:t>
            </w:r>
            <w:r>
              <w:t xml:space="preserve">.</w:t>
            </w:r>
            <w:r>
              <w:t xml:space="preserve"> </w:t>
            </w:r>
            <w:r>
              <w:rPr>
                <w:b/>
                <w:bCs/>
              </w:rPr>
              <w:t xml:space="preserve">None</w:t>
            </w:r>
            <w:r>
              <w:t xml:space="preserve"> </w:t>
            </w:r>
            <w:r>
              <w:t xml:space="preserve">branch sends an internal notification instead.</w:t>
            </w:r>
            <w:r>
              <w:t xml:space="preserve"> </w:t>
            </w:r>
            <w:r>
              <w:rPr>
                <w:b/>
                <w:bCs/>
              </w:rPr>
              <w:t xml:space="preserve">This is a deliberate guard:</w:t>
            </w:r>
            <w:r>
              <w:t xml:space="preserve"> </w:t>
            </w:r>
            <w:r>
              <w:t xml:space="preserve">a registration confirmed to a dealer without an expiry date is a claim with no clock, so the workflow refuses to confirm it and tells a human.</w:t>
            </w:r>
          </w:p>
        </w:tc>
      </w:tr>
      <w:tr>
        <w:tc>
          <w:tcPr/>
          <w:p>
            <w:pPr>
              <w:pStyle w:val="Compact"/>
            </w:pPr>
            <w:r>
              <w:t xml:space="preserve">WF-42 Registration Expiry</w:t>
            </w:r>
          </w:p>
        </w:tc>
        <w:tc>
          <w:tcPr/>
          <w:p>
            <w:pPr>
              <w:pStyle w:val="Compact"/>
            </w:pPr>
            <w:r>
              <w:t xml:space="preserve">Wait 76 days, then Wait 14 days, gated on</w:t>
            </w:r>
            <w:r>
              <w:t xml:space="preserve"> </w:t>
            </w:r>
            <w:r>
              <w:rPr>
                <w:rStyle w:val="VerbatimChar"/>
              </w:rPr>
              <w:t xml:space="preserve">Opportunity status is Open</w:t>
            </w:r>
          </w:p>
        </w:tc>
        <w:tc>
          <w:tcPr/>
          <w:p>
            <w:pPr>
              <w:pStyle w:val="Compact"/>
            </w:pPr>
            <w:r>
              <w:t xml:space="preserve">Warn before a 90 day registration lapses, then close it out</w:t>
            </w:r>
          </w:p>
        </w:tc>
        <w:tc>
          <w:tcPr/>
          <w:p>
            <w:pPr>
              <w:pStyle w:val="Compact"/>
            </w:pPr>
            <w:r>
              <w:t xml:space="preserve">Built on Wait steps rather than date reminders, because</w:t>
            </w:r>
            <w:r>
              <w:t xml:space="preserve"> </w:t>
            </w:r>
            <w:r>
              <w:rPr>
                <w:b/>
                <w:bCs/>
              </w:rPr>
              <w:t xml:space="preserve">GHL date reminders are contact-only and a registration lives on the opportunity</w:t>
            </w:r>
            <w:r>
              <w:t xml:space="preserve">.</w:t>
            </w:r>
          </w:p>
        </w:tc>
      </w:tr>
      <w:tr>
        <w:tc>
          <w:tcPr/>
          <w:p>
            <w:pPr>
              <w:pStyle w:val="Compact"/>
            </w:pPr>
            <w:r>
              <w:t xml:space="preserve">WF-43 Dealer Commission at Close</w:t>
            </w:r>
          </w:p>
        </w:tc>
        <w:tc>
          <w:tcPr/>
          <w:p>
            <w:pPr>
              <w:pStyle w:val="Compact"/>
            </w:pPr>
            <w:r>
              <w:rPr>
                <w:b/>
                <w:bCs/>
              </w:rPr>
              <w:t xml:space="preserve">Pipeline Stage Changed</w:t>
            </w:r>
            <w:r>
              <w:t xml:space="preserve">, Commercial B2B Pipeline, reached</w:t>
            </w:r>
            <w:r>
              <w:t xml:space="preserve"> </w:t>
            </w:r>
            <w:r>
              <w:rPr>
                <w:rStyle w:val="VerbatimChar"/>
              </w:rPr>
              <w:t xml:space="preserve">Contract Signed</w:t>
            </w:r>
            <w:r>
              <w:t xml:space="preserve"> </w:t>
            </w:r>
            <w:r>
              <w:t xml:space="preserve">(plus one further condition)</w:t>
            </w:r>
          </w:p>
        </w:tc>
        <w:tc>
          <w:tcPr/>
          <w:p>
            <w:pPr>
              <w:pStyle w:val="Compact"/>
            </w:pPr>
            <w:r>
              <w:t xml:space="preserve">Mark the deal Won, set the commission tier from the agreed price, alert Scott</w:t>
            </w:r>
          </w:p>
        </w:tc>
        <w:tc>
          <w:tcPr/>
          <w:p>
            <w:pPr>
              <w:pStyle w:val="Compact"/>
            </w:pPr>
            <w:r>
              <w:rPr>
                <w:b/>
                <w:bCs/>
              </w:rPr>
              <w:t xml:space="preserve">Mark as Won runs first</w:t>
            </w:r>
            <w:r>
              <w:t xml:space="preserve">, which is what closes the stage-versus-status gap described in Section 10. Then If/Else</w:t>
            </w:r>
            <w:r>
              <w:t xml:space="preserve"> </w:t>
            </w:r>
            <w:r>
              <w:rPr>
                <w:rStyle w:val="VerbatimChar"/>
              </w:rPr>
              <w:t xml:space="preserve">Which commission tier?</w:t>
            </w:r>
            <w:r>
              <w:t xml:space="preserve"> </w:t>
            </w:r>
            <w:r>
              <w:t xml:space="preserve">branches on</w:t>
            </w:r>
            <w:r>
              <w:t xml:space="preserve"> </w:t>
            </w:r>
            <w:r>
              <w:rPr>
                <w:rStyle w:val="VerbatimChar"/>
              </w:rPr>
              <w:t xml:space="preserve">Agreed Sale Price</w:t>
            </w:r>
            <w:r>
              <w:t xml:space="preserve"> </w:t>
            </w:r>
            <w:r>
              <w:t xml:space="preserve">into 25, 20 and 16 percent, each setting the tier and alerting Scott that commission is payable.</w:t>
            </w:r>
            <w:r>
              <w:t xml:space="preserve"> </w:t>
            </w:r>
            <w:r>
              <w:rPr>
                <w:b/>
                <w:bCs/>
              </w:rPr>
              <w:t xml:space="preserve">The None branch is the safety net:</w:t>
            </w:r>
            <w:r>
              <w:t xml:space="preserve"> </w:t>
            </w:r>
            <w:r>
              <w:t xml:space="preserve">a price below the MAP floor is flagged as below MAP, no commission is set, and Scott is alerted separately.</w:t>
            </w:r>
          </w:p>
        </w:tc>
      </w:tr>
    </w:tbl>
    <w:p>
      <w:pPr>
        <w:pStyle w:val="BodyText"/>
      </w:pPr>
      <w:r>
        <w:rPr>
          <w:b/>
          <w:bCs/>
        </w:rPr>
        <w:t xml:space="preserve">The four workflows hang off Commercial B2B pipeline stage changes.</w:t>
      </w:r>
      <w:r>
        <w:t xml:space="preserve"> </w:t>
      </w:r>
      <w:r>
        <w:t xml:space="preserve">A registration arrives at</w:t>
      </w:r>
      <w:r>
        <w:t xml:space="preserve"> </w:t>
      </w:r>
      <w:r>
        <w:rPr>
          <w:rStyle w:val="VerbatimChar"/>
        </w:rPr>
        <w:t xml:space="preserve">Registration Submitted</w:t>
      </w:r>
      <w:r>
        <w:t xml:space="preserve"> </w:t>
      </w:r>
      <w:r>
        <w:t xml:space="preserve">(WF-40). Someone works the</w:t>
      </w:r>
      <w:r>
        <w:t xml:space="preserve"> </w:t>
      </w:r>
      <w:r>
        <w:rPr>
          <w:rStyle w:val="VerbatimChar"/>
        </w:rPr>
        <w:t xml:space="preserve">Conflict Check</w:t>
      </w:r>
      <w:r>
        <w:t xml:space="preserve"> </w:t>
      </w:r>
      <w:r>
        <w:t xml:space="preserve">stage by hand. Moving the opportunity to</w:t>
      </w:r>
      <w:r>
        <w:t xml:space="preserve"> </w:t>
      </w:r>
      <w:r>
        <w:rPr>
          <w:rStyle w:val="VerbatimChar"/>
        </w:rPr>
        <w:t xml:space="preserve">Prospect</w:t>
      </w:r>
      <w:r>
        <w:t xml:space="preserve"> </w:t>
      </w:r>
      <w:r>
        <w:t xml:space="preserve">is what signals the registration is approved, and that stage change fires WF-41. The 90 day clock then runs while the deal works through</w:t>
      </w:r>
      <w:r>
        <w:t xml:space="preserve"> </w:t>
      </w:r>
      <w:r>
        <w:rPr>
          <w:rStyle w:val="VerbatimChar"/>
        </w:rPr>
        <w:t xml:space="preserve">Discovery</w:t>
      </w:r>
      <w:r>
        <w:t xml:space="preserve"> </w:t>
      </w:r>
      <w:r>
        <w:t xml:space="preserve">to</w:t>
      </w:r>
      <w:r>
        <w:t xml:space="preserve"> </w:t>
      </w:r>
      <w:r>
        <w:rPr>
          <w:rStyle w:val="VerbatimChar"/>
        </w:rPr>
        <w:t xml:space="preserve">Negotiation</w:t>
      </w:r>
      <w:r>
        <w:t xml:space="preserve">, guarded by WF-42. Reaching</w:t>
      </w:r>
      <w:r>
        <w:t xml:space="preserve"> </w:t>
      </w:r>
      <w:r>
        <w:rPr>
          <w:rStyle w:val="VerbatimChar"/>
        </w:rPr>
        <w:t xml:space="preserve">Contract Signed</w:t>
      </w:r>
      <w:r>
        <w:t xml:space="preserve"> </w:t>
      </w:r>
      <w:r>
        <w:t xml:space="preserve">fires WF-43, which marks the deal Won and sets the commission.</w:t>
      </w:r>
    </w:p>
    <w:p>
      <w:pPr>
        <w:pStyle w:val="BodyText"/>
      </w:pPr>
      <w:r>
        <w:rPr>
          <w:rStyle w:val="VerbatimChar"/>
        </w:rPr>
        <w:t xml:space="preserve">Registration Submitted</w:t>
      </w:r>
      <w:r>
        <w:t xml:space="preserve"> </w:t>
      </w:r>
      <w:r>
        <w:t xml:space="preserve">and</w:t>
      </w:r>
      <w:r>
        <w:t xml:space="preserve"> </w:t>
      </w:r>
      <w:r>
        <w:rPr>
          <w:rStyle w:val="VerbatimChar"/>
        </w:rPr>
        <w:t xml:space="preserve">Conflict Check</w:t>
      </w:r>
      <w:r>
        <w:t xml:space="preserve"> </w:t>
      </w:r>
      <w:r>
        <w:t xml:space="preserve">both sit at probability 0 and are excluded from the funnel and pie charts, because a submission that has not cleared conflict is not a deal.</w:t>
      </w:r>
    </w:p>
    <w:p>
      <w:pPr>
        <w:pStyle w:val="BodyText"/>
      </w:pPr>
      <w:r>
        <w:rPr>
          <w:b/>
          <w:bCs/>
        </w:rPr>
        <w:t xml:space="preserve">Both triggers carry a second condition that is not visible in the builder summary. CONFIRM against the live account.</w:t>
      </w:r>
    </w:p>
    <w:p>
      <w:pPr>
        <w:pStyle w:val="BodyText"/>
      </w:pPr>
      <w:r>
        <w:rPr>
          <w:b/>
          <w:bCs/>
        </w:rPr>
        <w:t xml:space="preserve">Registrations run a 90 day clock.</w:t>
      </w:r>
      <w:r>
        <w:t xml:space="preserve"> </w:t>
      </w:r>
      <w:r>
        <w:t xml:space="preserve">A dealer holds attribution on a named facility for 90 days from submission.</w:t>
      </w:r>
    </w:p>
    <w:p>
      <w:pPr>
        <w:pStyle w:val="BodyText"/>
      </w:pPr>
      <w:r>
        <w:rPr>
          <w:b/>
          <w:bCs/>
        </w:rPr>
        <w:t xml:space="preserve">Dealer confirmation email uses Send Internal Notification, not Send Email.</w:t>
      </w:r>
      <w:r>
        <w:t xml:space="preserve"> </w:t>
      </w:r>
      <w:r>
        <w:t xml:space="preserve">GHL’s</w:t>
      </w:r>
      <w:r>
        <w:t xml:space="preserve"> </w:t>
      </w:r>
      <w:r>
        <w:rPr>
          <w:rStyle w:val="VerbatimChar"/>
        </w:rPr>
        <w:t xml:space="preserve">Send Email</w:t>
      </w:r>
      <w:r>
        <w:t xml:space="preserve"> </w:t>
      </w:r>
      <w:r>
        <w:t xml:space="preserve">action can only reach the contact on the record, which on a dealer registration is the</w:t>
      </w:r>
      <w:r>
        <w:t xml:space="preserve"> </w:t>
      </w:r>
      <w:r>
        <w:rPr>
          <w:i/>
          <w:iCs/>
        </w:rPr>
        <w:t xml:space="preserve">facility</w:t>
      </w:r>
      <w:r>
        <w:t xml:space="preserve">, not the dealer. Sending the dealer’s confirmation with</w:t>
      </w:r>
      <w:r>
        <w:t xml:space="preserve"> </w:t>
      </w:r>
      <w:r>
        <w:rPr>
          <w:rStyle w:val="VerbatimChar"/>
        </w:rPr>
        <w:t xml:space="preserve">Send Email</w:t>
      </w:r>
      <w:r>
        <w:t xml:space="preserve"> </w:t>
      </w:r>
      <w:r>
        <w:t xml:space="preserve">delivers it to the prospect. The working build is</w:t>
      </w:r>
      <w:r>
        <w:t xml:space="preserve"> </w:t>
      </w:r>
      <w:r>
        <w:rPr>
          <w:rStyle w:val="VerbatimChar"/>
        </w:rPr>
        <w:t xml:space="preserve">Send Internal Notification</w:t>
      </w:r>
      <w:r>
        <w:t xml:space="preserve"> </w:t>
      </w:r>
      <w:r>
        <w:t xml:space="preserve">with</w:t>
      </w:r>
      <w:r>
        <w:t xml:space="preserve"> </w:t>
      </w:r>
      <w:r>
        <w:rPr>
          <w:rStyle w:val="VerbatimChar"/>
        </w:rPr>
        <w:t xml:space="preserve">To User Type: Custom email</w:t>
      </w:r>
      <w:r>
        <w:t xml:space="preserve"> </w:t>
      </w:r>
      <w:r>
        <w:t xml:space="preserve">and</w:t>
      </w:r>
      <w:r>
        <w:t xml:space="preserve"> </w:t>
      </w:r>
      <w:r>
        <w:rPr>
          <w:rStyle w:val="VerbatimChar"/>
        </w:rPr>
        <w:t xml:space="preserve">{{opportunity.dealer_email}}</w:t>
      </w:r>
      <w:r>
        <w:t xml:space="preserve"> </w:t>
      </w:r>
      <w:r>
        <w:t xml:space="preserve">inserted through the tag picker.</w:t>
      </w:r>
      <w:r>
        <w:t xml:space="preserve"> </w:t>
      </w:r>
      <w:r>
        <w:rPr>
          <w:b/>
          <w:bCs/>
        </w:rPr>
        <w:t xml:space="preserve">Typing the merge field by hand is rejected as invalid; it must be inserted from the picker.</w:t>
      </w:r>
    </w:p>
    <w:p>
      <w:pPr>
        <w:pStyle w:val="BodyText"/>
      </w:pPr>
      <w:r>
        <w:rPr>
          <w:b/>
          <w:bCs/>
        </w:rPr>
        <w:t xml:space="preserve">Commission ladder, tied to the final sale price: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Commission</w:t>
            </w:r>
          </w:p>
        </w:tc>
        <w:tc>
          <w:tcPr/>
          <w:p>
            <w:pPr>
              <w:pStyle w:val="Compact"/>
            </w:pPr>
            <w:r>
              <w:t xml:space="preserve">Maximum discount off MSRP</w:t>
            </w:r>
          </w:p>
        </w:tc>
        <w:tc>
          <w:tcPr/>
          <w:p>
            <w:pPr>
              <w:pStyle w:val="Compact"/>
            </w:pPr>
            <w:r>
              <w:t xml:space="preserve">Resulting price</w:t>
            </w:r>
          </w:p>
        </w:tc>
      </w:tr>
      <w:tr>
        <w:tc>
          <w:tcPr/>
          <w:p>
            <w:pPr>
              <w:pStyle w:val="Compact"/>
            </w:pPr>
            <w:r>
              <w:t xml:space="preserve">25 percent</w:t>
            </w:r>
          </w:p>
        </w:tc>
        <w:tc>
          <w:tcPr/>
          <w:p>
            <w:pPr>
              <w:pStyle w:val="Compact"/>
            </w:pPr>
            <w:r>
              <w:t xml:space="preserve">none, sells at $8,950 MSRP</w:t>
            </w:r>
          </w:p>
        </w:tc>
        <w:tc>
          <w:tcPr/>
          <w:p>
            <w:pPr>
              <w:pStyle w:val="Compact"/>
            </w:pPr>
            <w:r>
              <w:t xml:space="preserve">$8,950</w:t>
            </w:r>
          </w:p>
        </w:tc>
      </w:tr>
      <w:tr>
        <w:tc>
          <w:tcPr/>
          <w:p>
            <w:pPr>
              <w:pStyle w:val="Compact"/>
            </w:pPr>
            <w:r>
              <w:t xml:space="preserve">20 percent</w:t>
            </w:r>
          </w:p>
        </w:tc>
        <w:tc>
          <w:tcPr/>
          <w:p>
            <w:pPr>
              <w:pStyle w:val="Compact"/>
            </w:pPr>
            <w:r>
              <w:t xml:space="preserve">$1,342.50</w:t>
            </w:r>
          </w:p>
        </w:tc>
        <w:tc>
          <w:tcPr/>
          <w:p>
            <w:pPr>
              <w:pStyle w:val="Compact"/>
            </w:pPr>
            <w:r>
              <w:t xml:space="preserve">$7,607.50</w:t>
            </w:r>
          </w:p>
        </w:tc>
      </w:tr>
      <w:tr>
        <w:tc>
          <w:tcPr/>
          <w:p>
            <w:pPr>
              <w:pStyle w:val="Compact"/>
            </w:pPr>
            <w:r>
              <w:t xml:space="preserve">16 percent</w:t>
            </w:r>
          </w:p>
        </w:tc>
        <w:tc>
          <w:tcPr/>
          <w:p>
            <w:pPr>
              <w:pStyle w:val="Compact"/>
            </w:pPr>
            <w:r>
              <w:t xml:space="preserve">$1,790.00 (MAP floor)</w:t>
            </w:r>
          </w:p>
        </w:tc>
        <w:tc>
          <w:tcPr/>
          <w:p>
            <w:pPr>
              <w:pStyle w:val="Compact"/>
            </w:pPr>
            <w:r>
              <w:t xml:space="preserve">$7,160.00</w:t>
            </w:r>
          </w:p>
        </w:tc>
      </w:tr>
    </w:tbl>
    <w:p>
      <w:pPr>
        <w:pStyle w:val="BodyText"/>
      </w:pPr>
      <w:r>
        <w:t xml:space="preserve">Commission is calculated on the</w:t>
      </w:r>
      <w:r>
        <w:t xml:space="preserve"> </w:t>
      </w:r>
      <w:r>
        <w:rPr>
          <w:b/>
          <w:bCs/>
        </w:rPr>
        <w:t xml:space="preserve">actual sale price, expressed in USD</w:t>
      </w:r>
      <w:r>
        <w:t xml:space="preserve">, regardless of the dealer’s local currency. The program is</w:t>
      </w:r>
      <w:r>
        <w:t xml:space="preserve"> </w:t>
      </w:r>
      <w:r>
        <w:rPr>
          <w:b/>
          <w:bCs/>
        </w:rPr>
        <w:t xml:space="preserve">not US-only</w:t>
      </w:r>
      <w:r>
        <w:t xml:space="preserve">.</w:t>
      </w:r>
    </w:p>
    <w:bookmarkEnd w:id="65"/>
    <w:bookmarkStart w:id="66" w:name="X2698e74b1af9aaaf59965bb650c04f8b8dcdf99"/>
    <w:p>
      <w:pPr>
        <w:pStyle w:val="Heading2"/>
      </w:pPr>
      <w:r>
        <w:t xml:space="preserve">Opportunity custom fields (Dealer Registration folder, Session 17)</w:t>
      </w:r>
    </w:p>
    <w:p>
      <w:pPr>
        <w:pStyle w:val="FirstParagraph"/>
      </w:pPr>
      <w:r>
        <w:t xml:space="preserve">Held in</w:t>
      </w:r>
      <w:r>
        <w:t xml:space="preserve"> </w:t>
      </w:r>
      <w:r>
        <w:rPr>
          <w:rStyle w:val="VerbatimChar"/>
        </w:rPr>
        <w:t xml:space="preserve">Settings &gt; Custom Fields &gt; Opportunity &gt; Dealer Registration</w:t>
      </w:r>
      <w:r>
        <w:t xml:space="preserve">. These sit on the Opportunity object, not the Contact object, which is why the health-profile fields below are a separate list.</w:t>
      </w:r>
    </w:p>
    <w:p>
      <w:pPr>
        <w:pStyle w:val="Compact"/>
        <w:numPr>
          <w:ilvl w:val="0"/>
          <w:numId w:val="1008"/>
        </w:numPr>
      </w:pPr>
      <w:r>
        <w:rPr>
          <w:rStyle w:val="VerbatimChar"/>
          <w:b/>
          <w:bCs/>
        </w:rPr>
        <w:t xml:space="preserve">Dealer Name</w:t>
      </w:r>
      <w:r>
        <w:t xml:space="preserve"> </w:t>
      </w:r>
      <w:r>
        <w:t xml:space="preserve">(dropdown). Attribution that decides a commission cannot be free text with three spellings of the same company.</w:t>
      </w:r>
    </w:p>
    <w:p>
      <w:pPr>
        <w:pStyle w:val="Compact"/>
        <w:numPr>
          <w:ilvl w:val="0"/>
          <w:numId w:val="1008"/>
        </w:numPr>
      </w:pPr>
      <w:r>
        <w:rPr>
          <w:rStyle w:val="VerbatimChar"/>
          <w:b/>
          <w:bCs/>
        </w:rPr>
        <w:t xml:space="preserve">dealer_email</w:t>
      </w:r>
      <w:r>
        <w:t xml:space="preserve">. Feeds the confirmation notification described above.</w:t>
      </w:r>
    </w:p>
    <w:p>
      <w:pPr>
        <w:pStyle w:val="Compact"/>
        <w:numPr>
          <w:ilvl w:val="0"/>
          <w:numId w:val="1008"/>
        </w:numPr>
      </w:pPr>
      <w:r>
        <w:rPr>
          <w:rStyle w:val="VerbatimChar"/>
          <w:b/>
          <w:bCs/>
        </w:rPr>
        <w:t xml:space="preserve">Source Type</w:t>
      </w:r>
      <w:r>
        <w:t xml:space="preserve">. Set to</w:t>
      </w:r>
      <w:r>
        <w:t xml:space="preserve"> </w:t>
      </w:r>
      <w:r>
        <w:rPr>
          <w:rStyle w:val="VerbatimChar"/>
        </w:rPr>
        <w:t xml:space="preserve">Dealer</w:t>
      </w:r>
      <w:r>
        <w:t xml:space="preserve"> </w:t>
      </w:r>
      <w:r>
        <w:t xml:space="preserve">by WF-40.</w:t>
      </w:r>
    </w:p>
    <w:p>
      <w:pPr>
        <w:pStyle w:val="Compact"/>
        <w:numPr>
          <w:ilvl w:val="0"/>
          <w:numId w:val="1008"/>
        </w:numPr>
      </w:pPr>
      <w:r>
        <w:rPr>
          <w:rStyle w:val="VerbatimChar"/>
          <w:b/>
          <w:bCs/>
        </w:rPr>
        <w:t xml:space="preserve">Exclusivity Expires</w:t>
      </w:r>
      <w:r>
        <w:t xml:space="preserve"> </w:t>
      </w:r>
      <w:r>
        <w:t xml:space="preserve">(Date). The end of the 90 day registration. WF-41 refuses to confirm a registration to a dealer while this is empty.</w:t>
      </w:r>
    </w:p>
    <w:p>
      <w:pPr>
        <w:pStyle w:val="Compact"/>
        <w:numPr>
          <w:ilvl w:val="0"/>
          <w:numId w:val="1008"/>
        </w:numPr>
      </w:pPr>
      <w:r>
        <w:rPr>
          <w:rStyle w:val="VerbatimChar"/>
          <w:b/>
          <w:bCs/>
        </w:rPr>
        <w:t xml:space="preserve">Agreed Sale Price</w:t>
      </w:r>
      <w:r>
        <w:t xml:space="preserve">. WF-43 branches on this to pick the commission tier.</w:t>
      </w:r>
    </w:p>
    <w:p>
      <w:pPr>
        <w:pStyle w:val="Compact"/>
        <w:numPr>
          <w:ilvl w:val="0"/>
          <w:numId w:val="1008"/>
        </w:numPr>
      </w:pPr>
      <w:r>
        <w:t xml:space="preserve">A</w:t>
      </w:r>
      <w:r>
        <w:t xml:space="preserve"> </w:t>
      </w:r>
      <w:r>
        <w:rPr>
          <w:b/>
          <w:bCs/>
        </w:rPr>
        <w:t xml:space="preserve">commission tier</w:t>
      </w:r>
      <w:r>
        <w:t xml:space="preserve"> </w:t>
      </w:r>
      <w:r>
        <w:t xml:space="preserve">field, set to 25, 20 or 16 percent by WF-43, plus a</w:t>
      </w:r>
      <w:r>
        <w:t xml:space="preserve"> </w:t>
      </w:r>
      <w:r>
        <w:rPr>
          <w:b/>
          <w:bCs/>
        </w:rPr>
        <w:t xml:space="preserve">below MAP</w:t>
      </w:r>
      <w:r>
        <w:t xml:space="preserve"> </w:t>
      </w:r>
      <w:r>
        <w:t xml:space="preserve">flag on the None branch. Exact field names:</w:t>
      </w:r>
      <w:r>
        <w:t xml:space="preserve"> </w:t>
      </w:r>
      <w:r>
        <w:rPr>
          <w:b/>
          <w:bCs/>
        </w:rPr>
        <w:t xml:space="preserve">CONFIRM.</w:t>
      </w:r>
    </w:p>
    <w:p>
      <w:pPr>
        <w:pStyle w:val="Compact"/>
        <w:numPr>
          <w:ilvl w:val="0"/>
          <w:numId w:val="1008"/>
        </w:numPr>
      </w:pPr>
      <w:r>
        <w:t xml:space="preserve">Any remaining fields:</w:t>
      </w:r>
      <w:r>
        <w:t xml:space="preserve"> </w:t>
      </w:r>
      <w:r>
        <w:rPr>
          <w:b/>
          <w:bCs/>
        </w:rPr>
        <w:t xml:space="preserve">CONFIRM</w:t>
      </w:r>
      <w:r>
        <w:t xml:space="preserve"> </w:t>
      </w:r>
      <w:r>
        <w:t xml:space="preserve">against</w:t>
      </w:r>
      <w:r>
        <w:t xml:space="preserve"> </w:t>
      </w:r>
      <w:r>
        <w:rPr>
          <w:rStyle w:val="VerbatimChar"/>
        </w:rPr>
        <w:t xml:space="preserve">Settings &gt; Custom Fields &gt; Opportunity &gt; Dealer Registration</w:t>
      </w:r>
      <w:r>
        <w:t xml:space="preserve">.</w:t>
      </w:r>
    </w:p>
    <w:p>
      <w:pPr>
        <w:pStyle w:val="FirstParagraph"/>
      </w:pPr>
      <w:r>
        <w:rPr>
          <w:b/>
          <w:bCs/>
        </w:rPr>
        <w:t xml:space="preserve">There is one registration form per dealer, and this is deliberate.</w:t>
      </w:r>
      <w:r>
        <w:t xml:space="preserve"> </w:t>
      </w:r>
      <w:r>
        <w:t xml:space="preserve">A dropdown shows every option to whoever opens it, so a single shared form would let every dealer read the full roster and infer territory coverage and network size. GHL has no hidden-field option on this form type and its forms API is</w:t>
      </w:r>
      <w:r>
        <w:t xml:space="preserve"> </w:t>
      </w:r>
      <w:r>
        <w:rPr>
          <w:rStyle w:val="VerbatimChar"/>
        </w:rPr>
        <w:t xml:space="preserve">forms.readonly</w:t>
      </w:r>
      <w:r>
        <w:t xml:space="preserve">, so this cannot be automated away inside GHL. The master form is a template: never send it to anyone and never add a real dealer name to it. Full onboarding sequence in</w:t>
      </w:r>
      <w:r>
        <w:t xml:space="preserve"> </w:t>
      </w:r>
      <w:r>
        <w:rPr>
          <w:rStyle w:val="VerbatimChar"/>
        </w:rPr>
        <w:t xml:space="preserve">campaigns/dealer-onboarding.md</w:t>
      </w:r>
      <w:r>
        <w:t xml:space="preserve">.</w:t>
      </w:r>
    </w:p>
    <w:p>
      <w:pPr>
        <w:pStyle w:val="BodyText"/>
      </w:pPr>
      <w:r>
        <w:rPr>
          <w:rStyle w:val="VerbatimChar"/>
          <w:b/>
          <w:bCs/>
        </w:rPr>
        <w:t xml:space="preserve">Unassigned</w:t>
      </w:r>
      <w:r>
        <w:rPr>
          <w:b/>
          <w:bCs/>
        </w:rPr>
        <w:t xml:space="preserve"> </w:t>
      </w:r>
      <w:r>
        <w:rPr>
          <w:b/>
          <w:bCs/>
        </w:rPr>
        <w:t xml:space="preserve">is not a dealer.</w:t>
      </w:r>
      <w:r>
        <w:t xml:space="preserve"> </w:t>
      </w:r>
      <w:r>
        <w:t xml:space="preserve">It marks a registration that lost its attribution and must never be selectable on a live dealer form. An opportunity with</w:t>
      </w:r>
      <w:r>
        <w:t xml:space="preserve"> </w:t>
      </w:r>
      <w:r>
        <w:rPr>
          <w:rStyle w:val="VerbatimChar"/>
        </w:rPr>
        <w:t xml:space="preserve">Source Type = Dealer</w:t>
      </w:r>
      <w:r>
        <w:t xml:space="preserve"> </w:t>
      </w:r>
      <w:r>
        <w:t xml:space="preserve">and</w:t>
      </w:r>
      <w:r>
        <w:t xml:space="preserve"> </w:t>
      </w:r>
      <w:r>
        <w:rPr>
          <w:rStyle w:val="VerbatimChar"/>
        </w:rPr>
        <w:t xml:space="preserve">Dealer Name = Unassigned</w:t>
      </w:r>
      <w:r>
        <w:t xml:space="preserve"> </w:t>
      </w:r>
      <w:r>
        <w:t xml:space="preserve">is a deal nobody can be paid for, and is a fault to investigate rather than a record to leave.</w:t>
      </w:r>
    </w:p>
    <w:bookmarkEnd w:id="66"/>
    <w:bookmarkStart w:id="67"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9"/>
        </w:numPr>
      </w:pPr>
      <w:r>
        <w:t xml:space="preserve">WF-12 (Tired Test): https://services.leadconnectorhq.com/hooks/GtXjla7Ld1dordsTWrVy/webhook-trigger/6c3a7c6c-f1fa-4c85-a03a-a1c42fdfb13d</w:t>
      </w:r>
    </w:p>
    <w:p>
      <w:pPr>
        <w:numPr>
          <w:ilvl w:val="0"/>
          <w:numId w:val="1009"/>
        </w:numPr>
      </w:pPr>
      <w:r>
        <w:t xml:space="preserve">WF-15 (Synthesis Gap): https://services.leadconnectorhq.com/hooks/GtXjla7Ld1dordsTWrVy/webhook-trigger/fd32493c-6ec1-4e55-9edb-75399aa53a34</w:t>
      </w:r>
    </w:p>
    <w:p>
      <w:pPr>
        <w:numPr>
          <w:ilvl w:val="0"/>
          <w:numId w:val="1009"/>
        </w:numPr>
      </w:pPr>
      <w:r>
        <w:t xml:space="preserve">WF-18 (Recovery): https://services.leadconnectorhq.com/hooks/GtXjla7Ld1dordsTWrVy/webhook-trigger/3ae538d7-81a9-42a7-9e18-5e7c8b19b84a</w:t>
      </w:r>
    </w:p>
    <w:p>
      <w:pPr>
        <w:numPr>
          <w:ilvl w:val="0"/>
          <w:numId w:val="1009"/>
        </w:numPr>
      </w:pPr>
      <w:r>
        <w:t xml:space="preserve">WF-19 (Winter Protocol): https://services.leadconnectorhq.com/hooks/GtXjla7Ld1dordsTWrVy/webhook-trigger/ad11ef02-14c8-4dbc-b1dd-bb5c9f3203bd</w:t>
      </w:r>
    </w:p>
    <w:p>
      <w:pPr>
        <w:numPr>
          <w:ilvl w:val="0"/>
          <w:numId w:val="1009"/>
        </w:numPr>
      </w:pPr>
      <w:r>
        <w:t xml:space="preserve">WF-21 (Vitamin D Assessment): https://services.leadconnectorhq.com/hooks/GtXjla7Ld1dordsTWrVy/webhook-trigger/d2692dc6-1e9f-466c-8525-58c466c426bd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67"/>
    <w:bookmarkStart w:id="68" w:name="lead-scoring-model"/>
    <w:p>
      <w:pPr>
        <w:pStyle w:val="Heading2"/>
      </w:pPr>
      <w:r>
        <w:t xml:space="preserve">Lead Scoring Model</w:t>
      </w:r>
    </w:p>
    <w:p>
      <w:pPr>
        <w:pStyle w:val="FirstParagraph"/>
      </w:pPr>
      <w:r>
        <w:t xml:space="preserve">Email Opened +6 · Appointment Confirmed +21 · Contact Reply +11 · Appointment Booked +21.</w:t>
      </w:r>
    </w:p>
    <w:bookmarkEnd w:id="68"/>
    <w:bookmarkEnd w:id="69"/>
    <w:bookmarkStart w:id="70"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70"/>
    <w:bookmarkStart w:id="79" w:name="section-14-content-rules-updated-in-v3.7"/>
    <w:p>
      <w:pPr>
        <w:pStyle w:val="Heading1"/>
      </w:pPr>
      <w:r>
        <w:t xml:space="preserve">SECTION 14: CONTENT RULES (UPDATED in v3.7)</w:t>
      </w:r>
    </w:p>
    <w:bookmarkStart w:id="71"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10"/>
        </w:numPr>
      </w:pPr>
      <w:r>
        <w:rPr>
          <w:b/>
          <w:bCs/>
        </w:rPr>
        <w:t xml:space="preserve">StorySelling OS</w:t>
      </w:r>
      <w:r>
        <w:t xml:space="preserve"> </w:t>
      </w:r>
      <w:r>
        <w:t xml:space="preserve">-&gt; NARRATIVE/story content ONLY (origin stories, testimonials, social content pulling traffic to guides).</w:t>
      </w:r>
    </w:p>
    <w:p>
      <w:pPr>
        <w:numPr>
          <w:ilvl w:val="0"/>
          <w:numId w:val="1010"/>
        </w:numPr>
      </w:pPr>
      <w:r>
        <w:rPr>
          <w:b/>
          <w:bCs/>
        </w:rPr>
        <w:t xml:space="preserve">eugene-skill / cub / copy-chief / humanize-pro</w:t>
      </w:r>
      <w:r>
        <w:t xml:space="preserve"> </w:t>
      </w:r>
      <w:r>
        <w:t xml:space="preserve">-&gt; conversion and research copy (landing pages, guides, conversion emails).</w:t>
      </w:r>
    </w:p>
    <w:p>
      <w:pPr>
        <w:numPr>
          <w:ilvl w:val="0"/>
          <w:numId w:val="1010"/>
        </w:numPr>
      </w:pPr>
      <w:r>
        <w:rPr>
          <w:b/>
          <w:bCs/>
        </w:rPr>
        <w:t xml:space="preserve">presell-sandwich</w:t>
      </w:r>
      <w:r>
        <w:t xml:space="preserve"> </w:t>
      </w:r>
      <w:r>
        <w:t xml:space="preserve">-&gt; Problem-Aware buyer copy.</w:t>
      </w:r>
    </w:p>
    <w:p>
      <w:pPr>
        <w:numPr>
          <w:ilvl w:val="0"/>
          <w:numId w:val="1010"/>
        </w:numPr>
      </w:pPr>
      <w:r>
        <w:rPr>
          <w:b/>
          <w:bCs/>
        </w:rPr>
        <w:t xml:space="preserve">offer-brief / offer-gravity</w:t>
      </w:r>
      <w:r>
        <w:t xml:space="preserve"> </w:t>
      </w:r>
      <w:r>
        <w:t xml:space="preserve">-&gt; offer framing.</w:t>
      </w:r>
    </w:p>
    <w:p>
      <w:pPr>
        <w:numPr>
          <w:ilvl w:val="0"/>
          <w:numId w:val="1010"/>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71"/>
    <w:bookmarkStart w:id="72" w:name="writing-rules"/>
    <w:p>
      <w:pPr>
        <w:pStyle w:val="Heading2"/>
      </w:pPr>
      <w:r>
        <w:t xml:space="preserve">Writing Rules</w:t>
      </w:r>
    </w:p>
    <w:p>
      <w:pPr>
        <w:numPr>
          <w:ilvl w:val="0"/>
          <w:numId w:val="1011"/>
        </w:numPr>
      </w:pPr>
      <w:r>
        <w:t xml:space="preserve">No m-dashes ever; use commas, periods, or rewrite.</w:t>
      </w:r>
    </w:p>
    <w:p>
      <w:pPr>
        <w:numPr>
          <w:ilvl w:val="0"/>
          <w:numId w:val="1011"/>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11"/>
        </w:numPr>
      </w:pPr>
      <w:r>
        <w:t xml:space="preserve">Treatments completed: 25,000+. Customers: 600+. Red light co-use: 90%.</w:t>
      </w:r>
    </w:p>
    <w:p>
      <w:pPr>
        <w:numPr>
          <w:ilvl w:val="0"/>
          <w:numId w:val="1011"/>
        </w:numPr>
      </w:pPr>
      <w:r>
        <w:t xml:space="preserve">Manufacturing / Facility: 5115 N 27th Ave, Bld 66, Phoenix, AZ 85017, Made in USA (relocated from Scottsdale; all labels, listings, and materials should reflect the new address).</w:t>
      </w:r>
    </w:p>
    <w:p>
      <w:pPr>
        <w:numPr>
          <w:ilvl w:val="0"/>
          <w:numId w:val="1011"/>
        </w:numPr>
      </w:pPr>
      <w:r>
        <w:t xml:space="preserve">Referral: $150 off referee, $100 credit referrer.</w:t>
      </w:r>
    </w:p>
    <w:p>
      <w:pPr>
        <w:numPr>
          <w:ilvl w:val="0"/>
          <w:numId w:val="1011"/>
        </w:numPr>
      </w:pPr>
      <w:r>
        <w:t xml:space="preserve">Per-session cost: $2.30 (1,300 sessions over 5 years).</w:t>
      </w:r>
    </w:p>
    <w:p>
      <w:pPr>
        <w:numPr>
          <w:ilvl w:val="0"/>
          <w:numId w:val="1011"/>
        </w:numPr>
      </w:pPr>
      <w:r>
        <w:t xml:space="preserve">Order URL: https://shop.enyrgy.com/products/uvb-light-therapy · Device Registration: https://api.enyrgy.com/</w:t>
      </w:r>
    </w:p>
    <w:bookmarkEnd w:id="72"/>
    <w:bookmarkStart w:id="73" w:name="X797d2c75cb682f40ae0a7775fed78efc1f71c46"/>
    <w:p>
      <w:pPr>
        <w:pStyle w:val="Heading2"/>
      </w:pPr>
      <w:r>
        <w:t xml:space="preserve">Mechanics (NEW in v3.9.7, enforced by a gate)</w:t>
      </w:r>
    </w:p>
    <w:p>
      <w:pPr>
        <w:numPr>
          <w:ilvl w:val="0"/>
          <w:numId w:val="1012"/>
        </w:numPr>
      </w:pPr>
      <w:r>
        <w:rPr>
          <w:b/>
          <w:bCs/>
        </w:rPr>
        <w:t xml:space="preserve">US English throughout.</w:t>
      </w:r>
      <w:r>
        <w:t xml:space="preserve"> </w:t>
      </w:r>
      <w:r>
        <w:t xml:space="preserve">No British spellings. Added to</w:t>
      </w:r>
      <w:r>
        <w:t xml:space="preserve"> </w:t>
      </w:r>
      <w:r>
        <w:rPr>
          <w:rStyle w:val="VerbatimChar"/>
        </w:rPr>
        <w:t xml:space="preserve">Enyrgy_Brand_Style_Guide_v2.md</w:t>
      </w:r>
      <w:r>
        <w:t xml:space="preserve"> </w:t>
      </w:r>
      <w:r>
        <w:t xml:space="preserve">section 05 after they appeared twice in client-facing drafts.</w:t>
      </w:r>
    </w:p>
    <w:p>
      <w:pPr>
        <w:numPr>
          <w:ilvl w:val="0"/>
          <w:numId w:val="1012"/>
        </w:numPr>
      </w:pPr>
      <w:r>
        <w:rPr>
          <w:b/>
          <w:bCs/>
        </w:rPr>
        <w:t xml:space="preserve">Enforcement is automatic.</w:t>
      </w:r>
      <w:r>
        <w:t xml:space="preserve"> </w:t>
      </w:r>
      <w:r>
        <w:rPr>
          <w:rStyle w:val="VerbatimChar"/>
        </w:rPr>
        <w:t xml:space="preserve">scripts/md2docx.py</w:t>
      </w:r>
      <w:r>
        <w:t xml:space="preserve"> </w:t>
      </w:r>
      <w:r>
        <w:t xml:space="preserve">checks every brand document for British spellings and em-dashes.</w:t>
      </w:r>
      <w:r>
        <w:t xml:space="preserve"> </w:t>
      </w:r>
      <w:r>
        <w:rPr>
          <w:rStyle w:val="VerbatimChar"/>
        </w:rPr>
        <w:t xml:space="preserve">.githooks/pre-commit</w:t>
      </w:r>
      <w:r>
        <w:t xml:space="preserve"> </w:t>
      </w:r>
      <w:r>
        <w:t xml:space="preserve">blocks any commit introducing either into root-level</w:t>
      </w:r>
      <w:r>
        <w:t xml:space="preserve"> </w:t>
      </w:r>
      <w:r>
        <w:rPr>
          <w:rStyle w:val="VerbatimChar"/>
        </w:rPr>
        <w:t xml:space="preserve">Enyrgy_*.md</w:t>
      </w:r>
      <w:r>
        <w:t xml:space="preserve"> </w:t>
      </w:r>
      <w:r>
        <w:t xml:space="preserve">or</w:t>
      </w:r>
      <w:r>
        <w:t xml:space="preserve"> </w:t>
      </w:r>
      <w:r>
        <w:rPr>
          <w:rStyle w:val="VerbatimChar"/>
        </w:rPr>
        <w:t xml:space="preserve">campaigns/*.md</w:t>
      </w:r>
      <w:r>
        <w:t xml:space="preserve">. Install once per clone with</w:t>
      </w:r>
      <w:r>
        <w:t xml:space="preserve"> </w:t>
      </w:r>
      <w:r>
        <w:rPr>
          <w:rStyle w:val="VerbatimChar"/>
        </w:rPr>
        <w:t xml:space="preserve">git config core.hooksPath .githooks</w:t>
      </w:r>
      <w:r>
        <w:t xml:space="preserve">. Escapes: wrap a legitimate quotation in</w:t>
      </w:r>
      <w:r>
        <w:t xml:space="preserve"> </w:t>
      </w:r>
      <w:r>
        <w:rPr>
          <w:rStyle w:val="VerbatimChar"/>
        </w:rPr>
        <w:t xml:space="preserve">&lt;!-- style-check: ignore --&gt;</w:t>
      </w:r>
      <w:r>
        <w:t xml:space="preserve"> </w:t>
      </w:r>
      <w:r>
        <w:t xml:space="preserve">and</w:t>
      </w:r>
      <w:r>
        <w:t xml:space="preserve"> </w:t>
      </w:r>
      <w:r>
        <w:rPr>
          <w:rStyle w:val="VerbatimChar"/>
        </w:rPr>
        <w:t xml:space="preserve">&lt;!-- style-check: resume --&gt;</w:t>
      </w:r>
      <w:r>
        <w:t xml:space="preserve">, or</w:t>
      </w:r>
      <w:r>
        <w:t xml:space="preserve"> </w:t>
      </w:r>
      <w:r>
        <w:rPr>
          <w:rStyle w:val="VerbatimChar"/>
        </w:rPr>
        <w:t xml:space="preserve">git commit --no-verify</w:t>
      </w:r>
      <w:r>
        <w:t xml:space="preserve">.</w:t>
      </w:r>
    </w:p>
    <w:bookmarkEnd w:id="73"/>
    <w:bookmarkStart w:id="74" w:name="positioning-rules-new-in-v3.9.7"/>
    <w:p>
      <w:pPr>
        <w:pStyle w:val="Heading2"/>
      </w:pPr>
      <w:r>
        <w:t xml:space="preserve">Positioning Rules (NEW in v3.9.7)</w:t>
      </w:r>
    </w:p>
    <w:p>
      <w:pPr>
        <w:numPr>
          <w:ilvl w:val="0"/>
          <w:numId w:val="1013"/>
        </w:numPr>
      </w:pPr>
      <w:r>
        <w:rPr>
          <w:b/>
          <w:bCs/>
        </w:rPr>
        <w:t xml:space="preserve">Never raise the tanning-bed comparison in outbound copy, even to deny it.</w:t>
      </w:r>
      <w:r>
        <w:t xml:space="preserve"> </w:t>
      </w:r>
      <w:r>
        <w:t xml:space="preserve">Naming it plants it. Applied August 18 to WF-22 Touch 2 and WF-13. Answering the comparison when a prospect raises it first is permitted; introducing it is not.</w:t>
      </w:r>
    </w:p>
    <w:p>
      <w:pPr>
        <w:numPr>
          <w:ilvl w:val="0"/>
          <w:numId w:val="1013"/>
        </w:numPr>
      </w:pPr>
      <w:r>
        <w:rPr>
          <w:b/>
          <w:bCs/>
        </w:rPr>
        <w:t xml:space="preserve">The app determines your skin type, it does not read it.</w:t>
      </w:r>
      <w:r>
        <w:t xml:space="preserve"> </w:t>
      </w:r>
      <w:r>
        <w:t xml:space="preserve">Corrected August 13 across the Consumer Drip and the KB.</w:t>
      </w:r>
    </w:p>
    <w:p>
      <w:pPr>
        <w:numPr>
          <w:ilvl w:val="0"/>
          <w:numId w:val="1013"/>
        </w:numPr>
      </w:pPr>
      <w:r>
        <w:rPr>
          <w:b/>
          <w:bCs/>
        </w:rPr>
        <w:t xml:space="preserve">Prevalence, the citable figure.</w:t>
      </w:r>
      <w:r>
        <w:t xml:space="preserve"> </w:t>
      </w:r>
      <w:r>
        <w:t xml:space="preserve">In a 2023 pooled analysis of 308 population-based studies across 81 countries and 7.9 million participants aged 1 and over,</w:t>
      </w:r>
      <w:r>
        <w:t xml:space="preserve"> </w:t>
      </w:r>
      <w:r>
        <w:rPr>
          <w:b/>
          <w:bCs/>
        </w:rPr>
        <w:t xml:space="preserve">76.6 percent had serum 25(OH)D below 30 ng/mL</w:t>
      </w:r>
      <w:r>
        <w:t xml:space="preserve"> </w:t>
      </w:r>
      <w:r>
        <w:t xml:space="preserve">(Cui et al.,</w:t>
      </w:r>
      <w:r>
        <w:t xml:space="preserve"> </w:t>
      </w:r>
      <w:r>
        <w:rPr>
          <w:i/>
          <w:iCs/>
        </w:rPr>
        <w:t xml:space="preserve">Frontiers in Nutrition</w:t>
      </w:r>
      <w:r>
        <w:t xml:space="preserve"> </w:t>
      </w:r>
      <w:r>
        <w:t xml:space="preserve">2023, PMC10064807).</w:t>
      </w:r>
      <w:r>
        <w:t xml:space="preserve"> </w:t>
      </w:r>
      <w:r>
        <w:rPr>
          <w:b/>
          <w:bCs/>
        </w:rPr>
        <w:t xml:space="preserve">This supersedes the previously unsourced 77 percent figure.</w:t>
      </w:r>
      <w:r>
        <w:t xml:space="preserve"> </w:t>
      </w:r>
      <w:r>
        <w:t xml:space="preserve">Three rules: below 30 is insufficiency or low status, never</w:t>
      </w:r>
      <w:r>
        <w:t xml:space="preserve"> </w:t>
      </w:r>
      <w:r>
        <w:t xml:space="preserve">“deficiency”</w:t>
      </w:r>
      <w:r>
        <w:t xml:space="preserve">; the population is global and aged 1 and over, so say</w:t>
      </w:r>
      <w:r>
        <w:t xml:space="preserve"> </w:t>
      </w:r>
      <w:r>
        <w:t xml:space="preserve">“people”</w:t>
      </w:r>
      <w:r>
        <w:t xml:space="preserve"> </w:t>
      </w:r>
      <w:r>
        <w:t xml:space="preserve">and never</w:t>
      </w:r>
      <w:r>
        <w:t xml:space="preserve"> </w:t>
      </w:r>
      <w:r>
        <w:t xml:space="preserve">“adults”</w:t>
      </w:r>
      <w:r>
        <w:t xml:space="preserve">,</w:t>
      </w:r>
      <w:r>
        <w:t xml:space="preserve"> </w:t>
      </w:r>
      <w:r>
        <w:t xml:space="preserve">“Americans”</w:t>
      </w:r>
      <w:r>
        <w:t xml:space="preserve"> </w:t>
      </w:r>
      <w:r>
        <w:t xml:space="preserve">or</w:t>
      </w:r>
      <w:r>
        <w:t xml:space="preserve"> </w:t>
      </w:r>
      <w:r>
        <w:t xml:space="preserve">“indoor”</w:t>
      </w:r>
      <w:r>
        <w:t xml:space="preserve">; and do not present it as a precise national rate. Approved short forms:</w:t>
      </w:r>
      <w:r>
        <w:t xml:space="preserve"> </w:t>
      </w:r>
      <w:r>
        <w:t xml:space="preserve">“about three-quarters of people have vitamin D below 30 ng/mL”</w:t>
      </w:r>
      <w:r>
        <w:t xml:space="preserve"> </w:t>
      </w:r>
      <w:r>
        <w:t xml:space="preserve">or</w:t>
      </w:r>
      <w:r>
        <w:t xml:space="preserve"> </w:t>
      </w:r>
      <w:r>
        <w:t xml:space="preserve">“76.6 percent of people worldwide are below 30 ng/mL”</w:t>
      </w:r>
      <w:r>
        <w:t xml:space="preserve">.</w:t>
      </w:r>
    </w:p>
    <w:p>
      <w:pPr>
        <w:numPr>
          <w:ilvl w:val="0"/>
          <w:numId w:val="1013"/>
        </w:numPr>
      </w:pPr>
      <w:r>
        <w:rPr>
          <w:b/>
          <w:bCs/>
        </w:rPr>
        <w:t xml:space="preserve">The sunny-climate objection has its own source.</w:t>
      </w:r>
      <w:r>
        <w:t xml:space="preserve"> </w:t>
      </w:r>
      <w:r>
        <w:t xml:space="preserve">Palacios and Gonzalez,</w:t>
      </w:r>
      <w:r>
        <w:t xml:space="preserve"> </w:t>
      </w:r>
      <w:r>
        <w:rPr>
          <w:i/>
          <w:iCs/>
        </w:rPr>
        <w:t xml:space="preserve">J Steroid Biochem Mol Biol</w:t>
      </w:r>
      <w:r>
        <w:t xml:space="preserve"> </w:t>
      </w:r>
      <w:r>
        <w:t xml:space="preserve">2014 (PMC4018438), whose Highlights state verbatim:</w:t>
      </w:r>
      <w:r>
        <w:t xml:space="preserve"> </w:t>
      </w:r>
      <w:r>
        <w:t xml:space="preserve">“Low vitamin D status is a problem even in countries with sun exposure all year round.”</w:t>
      </w:r>
      <w:r>
        <w:t xml:space="preserve"> </w:t>
      </w:r>
      <w:r>
        <w:t xml:space="preserve">It reports no single headline figure, so it cannot source the prevalence number, and it says nothing about devices, so never present it as support for the platform itself.</w:t>
      </w:r>
    </w:p>
    <w:p>
      <w:pPr>
        <w:numPr>
          <w:ilvl w:val="0"/>
          <w:numId w:val="1013"/>
        </w:numPr>
      </w:pPr>
      <w:r>
        <w:rPr>
          <w:b/>
          <w:bCs/>
        </w:rPr>
        <w:t xml:space="preserve">HSA/FSA: the only authorized phrasing is</w:t>
      </w:r>
      <w:r>
        <w:rPr>
          <w:b/>
          <w:bCs/>
        </w:rPr>
        <w:t xml:space="preserve"> </w:t>
      </w:r>
      <w:r>
        <w:rPr>
          <w:b/>
          <w:bCs/>
        </w:rPr>
        <w:t xml:space="preserve">“HSA/FSA eligible through Truemed”</w:t>
      </w:r>
      <w:r>
        <w:rPr>
          <w:b/>
          <w:bCs/>
        </w:rPr>
        <w:t xml:space="preserve">.</w:t>
      </w:r>
      <w:r>
        <w:t xml:space="preserve"> </w:t>
      </w:r>
      <w:r>
        <w:t xml:space="preserve">Never explain eligibility in condition-or-treatment terms and never describe the Letter of Medical Necessity, regardless of what Truemed’s own copy blocks say.</w:t>
      </w:r>
      <w:r>
        <w:t xml:space="preserve"> </w:t>
      </w:r>
      <w:r>
        <w:rPr>
          <w:b/>
          <w:bCs/>
        </w:rPr>
        <w:t xml:space="preserve">Eligibility covers the Consumer Unit only; the wall mount is excluded.</w:t>
      </w:r>
      <w:r>
        <w:t xml:space="preserve"> </w:t>
      </w:r>
      <w:r>
        <w:t xml:space="preserve">The test is who the buyer of record is: an individual buying their own Consumer Unit at</w:t>
      </w:r>
      <w:r>
        <w:t xml:space="preserve"> </w:t>
      </w:r>
      <w:r>
        <w:rPr>
          <w:rStyle w:val="VerbatimChar"/>
        </w:rPr>
        <w:t xml:space="preserve">shop.enyrgy.com</w:t>
      </w:r>
      <w:r>
        <w:t xml:space="preserve"> </w:t>
      </w:r>
      <w:r>
        <w:t xml:space="preserve">is eligible</w:t>
      </w:r>
      <w:r>
        <w:t xml:space="preserve"> </w:t>
      </w:r>
      <w:r>
        <w:rPr>
          <w:b/>
          <w:bCs/>
        </w:rPr>
        <w:t xml:space="preserve">even when they arrive through a facility’s referral link</w:t>
      </w:r>
      <w:r>
        <w:t xml:space="preserve">, because the transaction is still consumer to Enyrgy. A facility buying units for its business is not, and neither is any membership or session fee that includes Enyrgy access. Never suggest routing a facility purchase through an individual to obtain eligibility.</w:t>
      </w:r>
    </w:p>
    <w:bookmarkEnd w:id="74"/>
    <w:bookmarkStart w:id="75" w:name="X853e0a91a1e222f2ef618e244a96dd8e18997f9"/>
    <w:p>
      <w:pPr>
        <w:pStyle w:val="Heading2"/>
      </w:pPr>
      <w:r>
        <w:t xml:space="preserve">Health Questions and Contraindications (NEW in v3.9.7)</w:t>
      </w:r>
    </w:p>
    <w:p>
      <w:pPr>
        <w:pStyle w:val="FirstParagraph"/>
      </w:pPr>
      <w:r>
        <w:rPr>
          <w:b/>
          <w:bCs/>
        </w:rPr>
        <w:t xml:space="preserve">KB Section 16 governs any conversation where a person names a health condition, an injury or a medication.</w:t>
      </w:r>
      <w:r>
        <w:t xml:space="preserve"> </w:t>
      </w:r>
      <w:r>
        <w:t xml:space="preserve">It carries the contraindication list from the shipping User Manual plus the handling rules, and it is binding on every agent and every human writing outbound copy.</w:t>
      </w:r>
    </w:p>
    <w:p>
      <w:pPr>
        <w:pStyle w:val="BodyText"/>
      </w:pPr>
      <w:r>
        <w:t xml:space="preserve">The rules that matter operationally:</w:t>
      </w:r>
    </w:p>
    <w:p>
      <w:pPr>
        <w:pStyle w:val="Compact"/>
        <w:numPr>
          <w:ilvl w:val="0"/>
          <w:numId w:val="1014"/>
        </w:numPr>
      </w:pPr>
      <w:r>
        <w:rPr>
          <w:b/>
          <w:bCs/>
        </w:rPr>
        <w:t xml:space="preserve">Never clear anyone for use</w:t>
      </w:r>
      <w:r>
        <w:t xml:space="preserve">, and never treat absence from the contraindication list as clearance.</w:t>
      </w:r>
    </w:p>
    <w:p>
      <w:pPr>
        <w:pStyle w:val="Compact"/>
        <w:numPr>
          <w:ilvl w:val="0"/>
          <w:numId w:val="1014"/>
        </w:numPr>
      </w:pPr>
      <w:r>
        <w:rPr>
          <w:b/>
          <w:bCs/>
        </w:rPr>
        <w:t xml:space="preserve">Never send the platform’s benefit story as the answer to a health question.</w:t>
      </w:r>
    </w:p>
    <w:p>
      <w:pPr>
        <w:pStyle w:val="Compact"/>
        <w:numPr>
          <w:ilvl w:val="0"/>
          <w:numId w:val="1014"/>
        </w:numPr>
      </w:pPr>
      <w:r>
        <w:rPr>
          <w:b/>
          <w:bCs/>
        </w:rPr>
        <w:t xml:space="preserve">Do not solicit or record health details</w:t>
      </w:r>
      <w:r>
        <w:t xml:space="preserve"> </w:t>
      </w:r>
      <w:r>
        <w:t xml:space="preserve">in GHL custom fields, tags or notes. Escalate instead.</w:t>
      </w:r>
    </w:p>
    <w:p>
      <w:pPr>
        <w:pStyle w:val="Compact"/>
        <w:numPr>
          <w:ilvl w:val="0"/>
          <w:numId w:val="1014"/>
        </w:numPr>
      </w:pPr>
      <w:r>
        <w:rPr>
          <w:b/>
          <w:bCs/>
        </w:rPr>
        <w:t xml:space="preserve">Escalate to Scott</w:t>
      </w:r>
      <w:r>
        <w:t xml:space="preserve"> </w:t>
      </w:r>
      <w:r>
        <w:t xml:space="preserve">whenever a person names a specific condition, a medication, ongoing care, or asks for an arrangement outside a standard purchase.</w:t>
      </w:r>
    </w:p>
    <w:p>
      <w:pPr>
        <w:pStyle w:val="Compact"/>
        <w:numPr>
          <w:ilvl w:val="0"/>
          <w:numId w:val="1014"/>
        </w:numPr>
      </w:pPr>
      <w:r>
        <w:rPr>
          <w:b/>
          <w:bCs/>
        </w:rPr>
        <w:t xml:space="preserve">The contraindication list is the only standing exemption to the prohibited-words scan.</w:t>
      </w:r>
      <w:r>
        <w:t xml:space="preserve"> </w:t>
      </w:r>
      <w:r>
        <w:t xml:space="preserve">It needs the word</w:t>
      </w:r>
      <w:r>
        <w:t xml:space="preserve"> </w:t>
      </w:r>
      <w:r>
        <w:t xml:space="preserve">“diagnosed”</w:t>
      </w:r>
      <w:r>
        <w:t xml:space="preserve"> </w:t>
      </w:r>
      <w:r>
        <w:t xml:space="preserve">five times, and an agent scrubbing it to pass the scan breaks the disclosure.</w:t>
      </w:r>
    </w:p>
    <w:p>
      <w:pPr>
        <w:pStyle w:val="Compact"/>
        <w:numPr>
          <w:ilvl w:val="0"/>
          <w:numId w:val="1014"/>
        </w:numPr>
      </w:pPr>
      <w:r>
        <w:rPr>
          <w:b/>
          <w:bCs/>
        </w:rPr>
        <w:t xml:space="preserve">Use on intact skin only.</w:t>
      </w:r>
      <w:r>
        <w:t xml:space="preserve"> </w:t>
      </w:r>
      <w:r>
        <w:t xml:space="preserve">Sessions are taken on the torso, on unbroken healthy skin. Never pair the wound-repair research with usage instructions in the same passage.</w:t>
      </w:r>
    </w:p>
    <w:bookmarkEnd w:id="75"/>
    <w:bookmarkStart w:id="76" w:name="brand-standards-new-in-v3.7-locked"/>
    <w:p>
      <w:pPr>
        <w:pStyle w:val="Heading2"/>
      </w:pPr>
      <w:r>
        <w:t xml:space="preserve">Brand Standards (NEW in v3.7, locked)</w:t>
      </w:r>
    </w:p>
    <w:p>
      <w:pPr>
        <w:numPr>
          <w:ilvl w:val="0"/>
          <w:numId w:val="1015"/>
        </w:numPr>
      </w:pPr>
      <w:r>
        <w:t xml:space="preserve">Accent: Sunrise Orange #E64C38 only (NO violet/purple/amber).</w:t>
      </w:r>
    </w:p>
    <w:p>
      <w:pPr>
        <w:numPr>
          <w:ilvl w:val="0"/>
          <w:numId w:val="1015"/>
        </w:numPr>
      </w:pPr>
      <w:r>
        <w:t xml:space="preserve">Typography: Montserrat, all weights (Bely Bold Italic unavailable -&gt; all-Montserrat).</w:t>
      </w:r>
    </w:p>
    <w:p>
      <w:pPr>
        <w:numPr>
          <w:ilvl w:val="0"/>
          <w:numId w:val="1015"/>
        </w:numPr>
      </w:pPr>
      <w:r>
        <w:t xml:space="preserve">Text: Deep Charcoal #1A1A1A. Panels: Warm Off-White #F7F4EE, Calm Beige #ECE4CF. Line #E2DBC9. Muted #6B6B66.</w:t>
      </w:r>
    </w:p>
    <w:p>
      <w:pPr>
        <w:numPr>
          <w:ilvl w:val="0"/>
          <w:numId w:val="1015"/>
        </w:numPr>
      </w:pPr>
      <w:r>
        <w:t xml:space="preserve">Approved terms: BioCalibrated Sunshine™ (personalized-dosing/skin-type angle), Triple-Pathway Advantage™.</w:t>
      </w:r>
    </w:p>
    <w:bookmarkEnd w:id="76"/>
    <w:bookmarkStart w:id="77"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77"/>
    <w:bookmarkStart w:id="78"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78"/>
    <w:bookmarkEnd w:id="79"/>
    <w:bookmarkStart w:id="80" w:name="section-15-approved-talking-points"/>
    <w:p>
      <w:pPr>
        <w:pStyle w:val="Heading1"/>
      </w:pPr>
      <w:r>
        <w:t xml:space="preserve">SECTION 15: APPROVED TALKING POINTS</w:t>
      </w:r>
    </w:p>
    <w:p>
      <w:pPr>
        <w:numPr>
          <w:ilvl w:val="0"/>
          <w:numId w:val="1016"/>
        </w:numPr>
      </w:pPr>
      <w:r>
        <w:t xml:space="preserve">Every human body was meant to thrive on sunlight. We just made it safe, personalized and controllable.</w:t>
      </w:r>
    </w:p>
    <w:p>
      <w:pPr>
        <w:numPr>
          <w:ilvl w:val="0"/>
          <w:numId w:val="1016"/>
        </w:numPr>
      </w:pPr>
      <w:r>
        <w:t xml:space="preserve">Restore your body’s natural response to sunlight.</w:t>
      </w:r>
    </w:p>
    <w:p>
      <w:pPr>
        <w:numPr>
          <w:ilvl w:val="0"/>
          <w:numId w:val="1016"/>
        </w:numPr>
      </w:pPr>
      <w:r>
        <w:t xml:space="preserve">Activate three biological pathways in 2-4 minutes.</w:t>
      </w:r>
    </w:p>
    <w:p>
      <w:pPr>
        <w:numPr>
          <w:ilvl w:val="0"/>
          <w:numId w:val="1016"/>
        </w:numPr>
      </w:pPr>
      <w:r>
        <w:t xml:space="preserve">25,000+ sessions with zero adverse events.</w:t>
      </w:r>
    </w:p>
    <w:p>
      <w:pPr>
        <w:numPr>
          <w:ilvl w:val="0"/>
          <w:numId w:val="1016"/>
        </w:numPr>
      </w:pPr>
      <w:r>
        <w:t xml:space="preserve">100% of clinical study participants reached optimal Vitamin D levels.</w:t>
      </w:r>
    </w:p>
    <w:p>
      <w:pPr>
        <w:numPr>
          <w:ilvl w:val="0"/>
          <w:numId w:val="1016"/>
        </w:numPr>
      </w:pPr>
      <w:r>
        <w:t xml:space="preserve">2.4x more efficient than sunlight for Vitamin D synthesis.</w:t>
      </w:r>
    </w:p>
    <w:p>
      <w:pPr>
        <w:numPr>
          <w:ilvl w:val="0"/>
          <w:numId w:val="1016"/>
        </w:numPr>
      </w:pPr>
      <w:r>
        <w:t xml:space="preserve">App-controlled, personalized MED protocol, system shuts off automatically.</w:t>
      </w:r>
    </w:p>
    <w:p>
      <w:pPr>
        <w:numPr>
          <w:ilvl w:val="0"/>
          <w:numId w:val="1016"/>
        </w:numPr>
      </w:pPr>
      <w:r>
        <w:t xml:space="preserve">Less than 1% return rate, 5-10x better than industry average.</w:t>
      </w:r>
    </w:p>
    <w:p>
      <w:pPr>
        <w:numPr>
          <w:ilvl w:val="0"/>
          <w:numId w:val="1016"/>
        </w:numPr>
      </w:pPr>
      <w:r>
        <w:t xml:space="preserve">Manufactured in Phoenix, AZ, Made in USA.</w:t>
      </w:r>
    </w:p>
    <w:p>
      <w:pPr>
        <w:numPr>
          <w:ilvl w:val="0"/>
          <w:numId w:val="1016"/>
        </w:numPr>
      </w:pPr>
      <w:r>
        <w:t xml:space="preserve">600+ customers across 5 countries.</w:t>
      </w:r>
    </w:p>
    <w:p>
      <w:pPr>
        <w:numPr>
          <w:ilvl w:val="0"/>
          <w:numId w:val="1016"/>
        </w:numPr>
      </w:pPr>
      <w:r>
        <w:t xml:space="preserve">Lumanova selected our technology to launch Luma D Light.</w:t>
      </w:r>
    </w:p>
    <w:p>
      <w:pPr>
        <w:numPr>
          <w:ilvl w:val="0"/>
          <w:numId w:val="1016"/>
        </w:numPr>
      </w:pPr>
      <w:r>
        <w:t xml:space="preserve">$2,995 consumer / $8,950 commercial.</w:t>
      </w:r>
    </w:p>
    <w:p>
      <w:pPr>
        <w:numPr>
          <w:ilvl w:val="0"/>
          <w:numId w:val="1016"/>
        </w:numPr>
      </w:pPr>
      <w:r>
        <w:t xml:space="preserve">$2.30 per session at 5 sessions/week over 5 years.</w:t>
      </w:r>
    </w:p>
    <w:p>
      <w:pPr>
        <w:numPr>
          <w:ilvl w:val="0"/>
          <w:numId w:val="1016"/>
        </w:numPr>
      </w:pPr>
      <w:r>
        <w:t xml:space="preserve">90% of our customers also use red light therapy.</w:t>
      </w:r>
    </w:p>
    <w:p>
      <w:pPr>
        <w:numPr>
          <w:ilvl w:val="0"/>
          <w:numId w:val="1016"/>
        </w:numPr>
      </w:pPr>
      <w:r>
        <w:t xml:space="preserve">Sunlight. Evolved.</w:t>
      </w:r>
    </w:p>
    <w:bookmarkEnd w:id="80"/>
    <w:bookmarkStart w:id="83" w:name="section-16-commercial-roi-model"/>
    <w:p>
      <w:pPr>
        <w:pStyle w:val="Heading1"/>
      </w:pPr>
      <w:r>
        <w:t xml:space="preserve">SECTION 16: COMMERCIAL ROI MODEL</w:t>
      </w:r>
    </w:p>
    <w:bookmarkStart w:id="81"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81"/>
    <w:bookmarkStart w:id="82"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82"/>
    <w:bookmarkEnd w:id="83"/>
    <w:bookmarkStart w:id="84"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p>
      <w:pPr>
        <w:pStyle w:val="BodyText"/>
      </w:pPr>
      <w:r>
        <w:rPr>
          <w:b/>
          <w:bCs/>
        </w:rPr>
        <w:t xml:space="preserve">Current company valuation: $10M</w:t>
      </w:r>
      <w:r>
        <w:t xml:space="preserve"> </w:t>
      </w:r>
      <w:r>
        <w:t xml:space="preserve">(recorded August 16, 2026). This is the company’s present valuation. It is</w:t>
      </w:r>
      <w:r>
        <w:t xml:space="preserve"> </w:t>
      </w:r>
      <w:r>
        <w:rPr>
          <w:b/>
          <w:bCs/>
        </w:rPr>
        <w:t xml:space="preserve">not</w:t>
      </w:r>
      <w:r>
        <w:t xml:space="preserve"> </w:t>
      </w:r>
      <w:r>
        <w:t xml:space="preserve">the basis for the conversion discount below, which discounts from an independent SEC valuation obtained at the time of conversion. Do not present $10M as a conversion price or imply the two are the same number.</w:t>
      </w:r>
    </w:p>
    <w:tbl>
      <w:tblPr>
        <w:tblStyle w:val="Table"/>
        <w:tblW w:type="pct" w:w="4907"/>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84"/>
    <w:bookmarkStart w:id="86" w:name="section-18-key-reference-data"/>
    <w:p>
      <w:pPr>
        <w:pStyle w:val="Heading1"/>
      </w:pPr>
      <w:r>
        <w:t xml:space="preserve">SECTION 18: KEY REFERENCE DATA</w:t>
      </w:r>
    </w:p>
    <w:tbl>
      <w:tblPr>
        <w:tblStyle w:val="Table"/>
        <w:tblW w:type="pct" w:w="49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Start w:id="85" w:name="added-since-v3.9.6"/>
    <w:p>
      <w:pPr>
        <w:pStyle w:val="Heading2"/>
      </w:pPr>
      <w:r>
        <w:t xml:space="preserve">Added since v3.9.6</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 Point</w:t>
            </w:r>
          </w:p>
        </w:tc>
        <w:tc>
          <w:tcPr/>
          <w:p>
            <w:pPr>
              <w:pStyle w:val="Compact"/>
            </w:pPr>
            <w:r>
              <w:t xml:space="preserve">Value</w:t>
            </w:r>
          </w:p>
        </w:tc>
        <w:tc>
          <w:tcPr/>
          <w:p>
            <w:pPr>
              <w:pStyle w:val="Compact"/>
            </w:pPr>
            <w:r>
              <w:t xml:space="preserve">Use In</w:t>
            </w:r>
          </w:p>
        </w:tc>
      </w:tr>
      <w:tr>
        <w:tc>
          <w:tcPr/>
          <w:p>
            <w:pPr>
              <w:pStyle w:val="Compact"/>
            </w:pPr>
            <w:r>
              <w:t xml:space="preserve">Current company valuation</w:t>
            </w:r>
          </w:p>
        </w:tc>
        <w:tc>
          <w:tcPr/>
          <w:p>
            <w:pPr>
              <w:pStyle w:val="Compact"/>
            </w:pPr>
            <w:r>
              <w:t xml:space="preserve">$10M (Aug 16, 2026)</w:t>
            </w:r>
          </w:p>
        </w:tc>
        <w:tc>
          <w:tcPr/>
          <w:p>
            <w:pPr>
              <w:pStyle w:val="Compact"/>
            </w:pPr>
            <w:r>
              <w:t xml:space="preserve">Investor conversations. Never as the conversion price.</w:t>
            </w:r>
          </w:p>
        </w:tc>
      </w:tr>
      <w:tr>
        <w:tc>
          <w:tcPr/>
          <w:p>
            <w:pPr>
              <w:pStyle w:val="Compact"/>
            </w:pPr>
            <w:r>
              <w:t xml:space="preserve">Prevalence, low vitamin D</w:t>
            </w:r>
          </w:p>
        </w:tc>
        <w:tc>
          <w:tcPr/>
          <w:p>
            <w:pPr>
              <w:pStyle w:val="Compact"/>
            </w:pPr>
            <w:r>
              <w:t xml:space="preserve">76.6 percent of people below 30 ng/mL (Cui 2023)</w:t>
            </w:r>
          </w:p>
        </w:tc>
        <w:tc>
          <w:tcPr/>
          <w:p>
            <w:pPr>
              <w:pStyle w:val="Compact"/>
            </w:pPr>
            <w:r>
              <w:t xml:space="preserve">All funnels. Supersedes the unsourced 77 percent.</w:t>
            </w:r>
          </w:p>
        </w:tc>
      </w:tr>
      <w:tr>
        <w:tc>
          <w:tcPr/>
          <w:p>
            <w:pPr>
              <w:pStyle w:val="Compact"/>
            </w:pPr>
            <w:r>
              <w:t xml:space="preserve">Facility referral commission</w:t>
            </w:r>
          </w:p>
        </w:tc>
        <w:tc>
          <w:tcPr/>
          <w:p>
            <w:pPr>
              <w:pStyle w:val="Compact"/>
            </w:pPr>
            <w:r>
              <w:t xml:space="preserve">$600 per Consumer Unit sale</w:t>
            </w:r>
          </w:p>
        </w:tc>
        <w:tc>
          <w:tcPr/>
          <w:p>
            <w:pPr>
              <w:pStyle w:val="Compact"/>
            </w:pPr>
            <w:r>
              <w:t xml:space="preserve">Commercial Drip Touch 7. Escalate terms to Scott.</w:t>
            </w:r>
          </w:p>
        </w:tc>
      </w:tr>
      <w:tr>
        <w:tc>
          <w:tcPr/>
          <w:p>
            <w:pPr>
              <w:pStyle w:val="Compact"/>
            </w:pPr>
            <w:r>
              <w:t xml:space="preserve">Dealer commission ladder</w:t>
            </w:r>
          </w:p>
        </w:tc>
        <w:tc>
          <w:tcPr/>
          <w:p>
            <w:pPr>
              <w:pStyle w:val="Compact"/>
            </w:pPr>
            <w:r>
              <w:t xml:space="preserve">25 / 20 / 16 percent on final sale price</w:t>
            </w:r>
          </w:p>
        </w:tc>
        <w:tc>
          <w:tcPr/>
          <w:p>
            <w:pPr>
              <w:pStyle w:val="Compact"/>
            </w:pPr>
            <w:r>
              <w:t xml:space="preserve">Dealer program only, see Section 12</w:t>
            </w:r>
          </w:p>
        </w:tc>
      </w:tr>
      <w:tr>
        <w:tc>
          <w:tcPr/>
          <w:p>
            <w:pPr>
              <w:pStyle w:val="Compact"/>
            </w:pPr>
            <w:r>
              <w:t xml:space="preserve">Commercial unit footprint</w:t>
            </w:r>
          </w:p>
        </w:tc>
        <w:tc>
          <w:tcPr/>
          <w:p>
            <w:pPr>
              <w:pStyle w:val="Compact"/>
            </w:pPr>
            <w:r>
              <w:t xml:space="preserve">approximately 4 ft by 4 ft</w:t>
            </w:r>
          </w:p>
        </w:tc>
        <w:tc>
          <w:tcPr/>
          <w:p>
            <w:pPr>
              <w:pStyle w:val="Compact"/>
            </w:pPr>
            <w:r>
              <w:t xml:space="preserve">First practical objection a facility raises</w:t>
            </w:r>
          </w:p>
        </w:tc>
      </w:tr>
      <w:tr>
        <w:tc>
          <w:tcPr/>
          <w:p>
            <w:pPr>
              <w:pStyle w:val="Compact"/>
            </w:pPr>
            <w:r>
              <w:t xml:space="preserve">Commercial client pricing</w:t>
            </w:r>
          </w:p>
        </w:tc>
        <w:tc>
          <w:tcPr/>
          <w:p>
            <w:pPr>
              <w:pStyle w:val="Compact"/>
            </w:pPr>
            <w:r>
              <w:t xml:space="preserve">$49 to $125 per month per client, set by market</w:t>
            </w:r>
          </w:p>
        </w:tc>
        <w:tc>
          <w:tcPr/>
          <w:p>
            <w:pPr>
              <w:pStyle w:val="Compact"/>
            </w:pPr>
            <w:r>
              <w:t xml:space="preserve">Commercial funnel</w:t>
            </w:r>
          </w:p>
        </w:tc>
      </w:tr>
      <w:tr>
        <w:tc>
          <w:tcPr/>
          <w:p>
            <w:pPr>
              <w:pStyle w:val="Compact"/>
            </w:pPr>
            <w:r>
              <w:t xml:space="preserve">Founder track record</w:t>
            </w:r>
          </w:p>
        </w:tc>
        <w:tc>
          <w:tcPr/>
          <w:p>
            <w:pPr>
              <w:pStyle w:val="Compact"/>
            </w:pPr>
            <w:r>
              <w:t xml:space="preserve">Five exits from eight previous startups, $500M+; plus eleven M&amp;A transactions led, $249M</w:t>
            </w:r>
          </w:p>
        </w:tc>
        <w:tc>
          <w:tcPr/>
          <w:p>
            <w:pPr>
              <w:pStyle w:val="Compact"/>
            </w:pPr>
            <w:r>
              <w:t xml:space="preserve">Investor conversations.</w:t>
            </w:r>
            <w:r>
              <w:t xml:space="preserve"> </w:t>
            </w:r>
            <w:r>
              <w:rPr>
                <w:b/>
                <w:bCs/>
              </w:rPr>
              <w:t xml:space="preserve">State the two figures separately, never combine.</w:t>
            </w:r>
          </w:p>
        </w:tc>
      </w:tr>
      <w:tr>
        <w:tc>
          <w:tcPr/>
          <w:p>
            <w:pPr>
              <w:pStyle w:val="Compact"/>
            </w:pPr>
            <w:r>
              <w:t xml:space="preserve">HSA/FSA</w:t>
            </w:r>
          </w:p>
        </w:tc>
        <w:tc>
          <w:tcPr/>
          <w:p>
            <w:pPr>
              <w:pStyle w:val="Compact"/>
            </w:pPr>
            <w:r>
              <w:t xml:space="preserve">“HSA/FSA eligible through Truemed”</w:t>
            </w:r>
            <w:r>
              <w:t xml:space="preserve">, Consumer Unit only</w:t>
            </w:r>
          </w:p>
        </w:tc>
        <w:tc>
          <w:tcPr/>
          <w:p>
            <w:pPr>
              <w:pStyle w:val="Compact"/>
            </w:pPr>
            <w:r>
              <w:t xml:space="preserve">Consumer funnel, see Section 14</w:t>
            </w:r>
          </w:p>
        </w:tc>
      </w:tr>
    </w:tbl>
    <w:bookmarkEnd w:id="85"/>
    <w:bookmarkEnd w:id="86"/>
    <w:bookmarkStart w:id="90" w:name="X17ff4415c04741fc8a2aa7a70f1e07a23764a6c"/>
    <w:p>
      <w:pPr>
        <w:pStyle w:val="Heading1"/>
      </w:pPr>
      <w:r>
        <w:t xml:space="preserve">SECTION 19: OEM / WHITE-LABEL PARTNER PROGRAM</w:t>
      </w:r>
    </w:p>
    <w:bookmarkStart w:id="87" w:name="current-partner-lumanova-luma-d-light"/>
    <w:p>
      <w:pPr>
        <w:pStyle w:val="Heading2"/>
      </w:pPr>
      <w:r>
        <w:t xml:space="preserve">Current Partner, Lumanova / Luma D Light</w:t>
      </w:r>
    </w:p>
    <w:tbl>
      <w:tblPr>
        <w:tblStyle w:val="Table"/>
        <w:tblW w:type="pct" w:w="491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87"/>
    <w:bookmarkStart w:id="88" w:name="Xb9fc2bd3abb295fbc0fc3f6e5c1fe9fe826a6b0"/>
    <w:p>
      <w:pPr>
        <w:pStyle w:val="Heading2"/>
      </w:pPr>
      <w:r>
        <w:t xml:space="preserve">Facility Referral Arrangement (ESCALATE TO SCOTT)</w:t>
      </w:r>
    </w:p>
    <w:p>
      <w:pPr>
        <w:pStyle w:val="FirstParagraph"/>
      </w:pPr>
      <w:r>
        <w:rPr>
          <w:b/>
          <w:bCs/>
        </w:rPr>
        <w:t xml:space="preserve">Agents must not run this conversation.</w:t>
      </w:r>
      <w:r>
        <w:t xml:space="preserve"> </w:t>
      </w:r>
      <w:r>
        <w:t xml:space="preserve">Scott handles referral arrangements personally (decision, August 14, 2026).</w:t>
      </w:r>
    </w:p>
    <w:p>
      <w:pPr>
        <w:pStyle w:val="BodyText"/>
      </w:pPr>
      <w:r>
        <w:t xml:space="preserve">A facility hands its members a unique referral link to</w:t>
      </w:r>
      <w:r>
        <w:t xml:space="preserve"> </w:t>
      </w:r>
      <w:r>
        <w:rPr>
          <w:rStyle w:val="VerbatimChar"/>
        </w:rPr>
        <w:t xml:space="preserve">shop.enyrgy.com</w:t>
      </w:r>
      <w:r>
        <w:t xml:space="preserve">. The member purchases directly from Enyrgy at the $2,995 MSRP and the facility is credited a commission. The facility carries no inventory and buys nothing.</w:t>
      </w:r>
    </w:p>
    <w:p>
      <w:pPr>
        <w:pStyle w:val="BodyText"/>
      </w:pPr>
      <w:r>
        <w:rPr>
          <w:b/>
          <w:bCs/>
        </w:rPr>
        <w:t xml:space="preserve">The commission is $600 per Consumer Unit sale.</w:t>
      </w:r>
      <w:r>
        <w:t xml:space="preserve"> </w:t>
      </w:r>
      <w:r>
        <w:t xml:space="preserve">This figure appears in Commercial Drip Touch 7, so a facility that received that email already has it. An agent may confirm the figure if a facility quotes it back, but</w:t>
      </w:r>
      <w:r>
        <w:t xml:space="preserve"> </w:t>
      </w:r>
      <w:r>
        <w:rPr>
          <w:b/>
          <w:bCs/>
        </w:rPr>
        <w:t xml:space="preserve">must not negotiate, extend, or discuss terms.</w:t>
      </w:r>
      <w:r>
        <w:t xml:space="preserve"> </w:t>
      </w:r>
      <w:r>
        <w:t xml:space="preserve">Hand off to Scott, the same as white-label and distribution.</w:t>
      </w:r>
    </w:p>
    <w:p>
      <w:pPr>
        <w:pStyle w:val="BodyText"/>
      </w:pPr>
      <w:r>
        <w:t xml:space="preserve">Because the member is the buyer of record, that purchase is HSA/FSA eligible. The referral link does not change whose purchase it is. See the HSA/FSA rules in Section 14.</w:t>
      </w:r>
    </w:p>
    <w:p>
      <w:pPr>
        <w:pStyle w:val="BodyText"/>
      </w:pPr>
      <w:r>
        <w:rPr>
          <w:b/>
          <w:bCs/>
        </w:rPr>
        <w:t xml:space="preserve">This is not the dealer program.</w:t>
      </w:r>
      <w:r>
        <w:t xml:space="preserve"> </w:t>
      </w:r>
      <w:r>
        <w:t xml:space="preserve">Dealers resell the $8,950 commercial unit and earn 25 to 16 percent under the deal registration system in Section 12. The two are separate and should never be described in the same breath to a prospect.</w:t>
      </w:r>
    </w:p>
    <w:bookmarkEnd w:id="88"/>
    <w:bookmarkStart w:id="8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89"/>
    <w:bookmarkEnd w:id="90"/>
    <w:bookmarkStart w:id="9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9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91"/>
    <w:bookmarkStart w:id="9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92"/>
    <w:bookmarkStart w:id="93" w:name="X381182024df858e43a1c7682279a9e1b008a029"/>
    <w:p>
      <w:pPr>
        <w:pStyle w:val="Heading2"/>
      </w:pPr>
      <w:r>
        <w:t xml:space="preserve">Commercial, Investor, Partner/Vendor Channels</w:t>
      </w:r>
    </w:p>
    <w:p>
      <w:pPr>
        <w:numPr>
          <w:ilvl w:val="0"/>
          <w:numId w:val="1017"/>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7"/>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7"/>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93"/>
    <w:bookmarkEnd w:id="94"/>
    <w:bookmarkStart w:id="9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attorney-approved.</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95"/>
    <w:bookmarkStart w:id="100" w:name="section-22-client-type-playbooks"/>
    <w:p>
      <w:pPr>
        <w:pStyle w:val="Heading1"/>
      </w:pPr>
      <w:r>
        <w:t xml:space="preserve">SECTION 22: CLIENT TYPE PLAYBOOKS</w:t>
      </w:r>
    </w:p>
    <w:bookmarkStart w:id="96" w:name="consumer-playbook-discovery-questions"/>
    <w:p>
      <w:pPr>
        <w:pStyle w:val="Heading2"/>
      </w:pPr>
      <w:r>
        <w:t xml:space="preserve">Consumer Playbook, Discovery Questions</w:t>
      </w:r>
    </w:p>
    <w:tbl>
      <w:tblPr>
        <w:tblStyle w:val="Table"/>
        <w:tblW w:type="pct" w:w="493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96"/>
    <w:bookmarkStart w:id="97" w:name="top-consumer-objections"/>
    <w:p>
      <w:pPr>
        <w:pStyle w:val="Heading2"/>
      </w:pPr>
      <w:r>
        <w:t xml:space="preserve">Top Consumer Objections</w:t>
      </w:r>
    </w:p>
    <w:p>
      <w:pPr>
        <w:numPr>
          <w:ilvl w:val="0"/>
          <w:numId w:val="1018"/>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8"/>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8"/>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8"/>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8"/>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97"/>
    <w:bookmarkStart w:id="9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9"/>
        </w:numPr>
      </w:pPr>
      <w:r>
        <w:rPr>
          <w:b/>
          <w:bCs/>
        </w:rPr>
        <w:t xml:space="preserve">We already have red light:</w:t>
      </w:r>
      <w:r>
        <w:t xml:space="preserve"> </w:t>
      </w:r>
      <w:r>
        <w:t xml:space="preserve">90% of Enyrgy customers use both, different biological purposes. Upsell, not replacement.</w:t>
      </w:r>
    </w:p>
    <w:p>
      <w:pPr>
        <w:numPr>
          <w:ilvl w:val="0"/>
          <w:numId w:val="1019"/>
        </w:numPr>
      </w:pPr>
      <w:r>
        <w:rPr>
          <w:b/>
          <w:bCs/>
        </w:rPr>
        <w:t xml:space="preserve">Would clients pay?:</w:t>
      </w:r>
      <w:r>
        <w:t xml:space="preserve"> </w:t>
      </w:r>
      <w:r>
        <w:t xml:space="preserve">About three-quarters of people have vitamin D below 30 ng/mL. Operators charge $40-$75/session.</w:t>
      </w:r>
    </w:p>
    <w:p>
      <w:pPr>
        <w:numPr>
          <w:ilvl w:val="0"/>
          <w:numId w:val="1019"/>
        </w:numPr>
      </w:pPr>
      <w:r>
        <w:rPr>
          <w:b/>
          <w:bCs/>
        </w:rPr>
        <w:t xml:space="preserve">Staff training?:</w:t>
      </w:r>
      <w:r>
        <w:t xml:space="preserve"> </w:t>
      </w:r>
      <w:r>
        <w:t xml:space="preserve">Included; the app calculates each client’s MED and controls the session.</w:t>
      </w:r>
    </w:p>
    <w:bookmarkEnd w:id="98"/>
    <w:bookmarkStart w:id="99" w:name="investor-playbook-pitch-flow"/>
    <w:p>
      <w:pPr>
        <w:pStyle w:val="Heading2"/>
      </w:pPr>
      <w:r>
        <w:t xml:space="preserve">Investor Playbook, Pitch Flow</w:t>
      </w:r>
    </w:p>
    <w:p>
      <w:pPr>
        <w:numPr>
          <w:ilvl w:val="0"/>
          <w:numId w:val="1020"/>
        </w:numPr>
      </w:pPr>
      <w:r>
        <w:t xml:space="preserve">Company &amp; Problem (5 min): about three-quarters of people have vitamin D below 30 ng/mL, about one in four trial participants were low responders to supplementation, no scalable UVB solution.</w:t>
      </w:r>
    </w:p>
    <w:p>
      <w:pPr>
        <w:numPr>
          <w:ilvl w:val="0"/>
          <w:numId w:val="1020"/>
        </w:numPr>
      </w:pPr>
      <w:r>
        <w:t xml:space="preserve">Solution &amp; Technology (5 min): triple pathway, app-controlled, patented LED card, Made in Phoenix AZ.</w:t>
      </w:r>
    </w:p>
    <w:p>
      <w:pPr>
        <w:numPr>
          <w:ilvl w:val="0"/>
          <w:numId w:val="1020"/>
        </w:numPr>
      </w:pPr>
      <w:r>
        <w:t xml:space="preserve">Traction (5 min): 600+ customers, 25,000+ treatments, &lt;1% return, 5 countries, $14,700+ MRR, zero paid ads.</w:t>
      </w:r>
    </w:p>
    <w:p>
      <w:pPr>
        <w:numPr>
          <w:ilvl w:val="0"/>
          <w:numId w:val="1020"/>
        </w:numPr>
      </w:pPr>
      <w:r>
        <w:t xml:space="preserve">Market &amp; Model (5 min): $2,995/$8,950/OEM, 66-78% margins.</w:t>
      </w:r>
    </w:p>
    <w:p>
      <w:pPr>
        <w:numPr>
          <w:ilvl w:val="0"/>
          <w:numId w:val="1020"/>
        </w:numPr>
      </w:pPr>
      <w:r>
        <w:t xml:space="preserve">The Ask (3 min): $3.5M private credit at 12%/3yr, $50K min, exit $100-150M in 5 years (10-15x).</w:t>
      </w:r>
    </w:p>
    <w:p>
      <w:pPr>
        <w:numPr>
          <w:ilvl w:val="0"/>
          <w:numId w:val="1020"/>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99"/>
    <w:bookmarkEnd w:id="100"/>
    <w:bookmarkStart w:id="101" w:name="section-23-contact"/>
    <w:p>
      <w:pPr>
        <w:pStyle w:val="Heading1"/>
      </w:pPr>
      <w:r>
        <w:t xml:space="preserve">SECTION 23: CONTACT</w:t>
      </w:r>
    </w:p>
    <w:tbl>
      <w:tblPr>
        <w:tblStyle w:val="Table"/>
        <w:tblW w:type="pct" w:w="489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101"/>
    <w:bookmarkStart w:id="108" w:name="X2eb0bc4ebcb5446a412218d313bed2b732c6680"/>
    <w:p>
      <w:pPr>
        <w:pStyle w:val="Heading1"/>
      </w:pPr>
      <w:r>
        <w:t xml:space="preserve">SECTION 24: CONSUMER FUNNEL: ICP-DARTBOARD SYSTEM (NEW in v3.7)</w:t>
      </w:r>
    </w:p>
    <w:bookmarkStart w:id="10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102"/>
    <w:bookmarkStart w:id="103" w:name="end-to-end-routing"/>
    <w:p>
      <w:pPr>
        <w:pStyle w:val="Heading2"/>
      </w:pPr>
      <w:r>
        <w:t xml:space="preserve">End-to-End Routing</w:t>
      </w:r>
    </w:p>
    <w:tbl>
      <w:tblPr>
        <w:tblStyle w:val="Table"/>
        <w:tblW w:type="pct" w:w="4912"/>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103"/>
    <w:bookmarkStart w:id="10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21"/>
        </w:numPr>
      </w:pPr>
      <w:r>
        <w:t xml:space="preserve">magnet_lead, marks a lead-magnet entrant (suppression marker).</w:t>
      </w:r>
    </w:p>
    <w:p>
      <w:pPr>
        <w:numPr>
          <w:ilvl w:val="0"/>
          <w:numId w:val="1021"/>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104"/>
    <w:bookmarkStart w:id="105" w:name="the-magnets"/>
    <w:p>
      <w:pPr>
        <w:pStyle w:val="Heading2"/>
      </w:pPr>
      <w:r>
        <w:t xml:space="preserve">The Magnets</w:t>
      </w:r>
    </w:p>
    <w:tbl>
      <w:tblPr>
        <w:tblStyle w:val="Table"/>
        <w:tblW w:type="pct" w:w="4954"/>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105"/>
    <w:bookmarkStart w:id="106" w:name="email-series"/>
    <w:p>
      <w:pPr>
        <w:pStyle w:val="Heading2"/>
      </w:pPr>
      <w:r>
        <w:t xml:space="preserve">Email Series</w:t>
      </w:r>
    </w:p>
    <w:tbl>
      <w:tblPr>
        <w:tblStyle w:val="Table"/>
        <w:tblW w:type="pct" w:w="4885"/>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106"/>
    <w:bookmarkStart w:id="107" w:name="landing-page-deploy-recipe-proven"/>
    <w:p>
      <w:pPr>
        <w:pStyle w:val="Heading2"/>
      </w:pPr>
      <w:r>
        <w:t xml:space="preserve">Landing-Page Deploy Recipe (proven)</w:t>
      </w:r>
    </w:p>
    <w:p>
      <w:pPr>
        <w:numPr>
          <w:ilvl w:val="0"/>
          <w:numId w:val="1022"/>
        </w:numPr>
      </w:pPr>
      <w:r>
        <w:t xml:space="preserve">Create funnel + step; clean slug from the start.</w:t>
      </w:r>
    </w:p>
    <w:p>
      <w:pPr>
        <w:numPr>
          <w:ilvl w:val="0"/>
          <w:numId w:val="1022"/>
        </w:numPr>
      </w:pPr>
      <w:r>
        <w:t xml:space="preserve">Custom HTML/JavaScript element on a blank step; paste page HTML.</w:t>
      </w:r>
    </w:p>
    <w:p>
      <w:pPr>
        <w:numPr>
          <w:ilvl w:val="0"/>
          <w:numId w:val="1022"/>
        </w:numPr>
      </w:pPr>
      <w:r>
        <w:t xml:space="preserve">Section -&gt; Width: Full.</w:t>
      </w:r>
    </w:p>
    <w:p>
      <w:pPr>
        <w:numPr>
          <w:ilvl w:val="0"/>
          <w:numId w:val="1022"/>
        </w:numPr>
      </w:pPr>
      <w:r>
        <w:t xml:space="preserve">“Allow Rows to take entire width”</w:t>
      </w:r>
      <w:r>
        <w:t xml:space="preserve"> </w:t>
      </w:r>
      <w:r>
        <w:t xml:space="preserve">-&gt; ON.</w:t>
      </w:r>
    </w:p>
    <w:p>
      <w:pPr>
        <w:numPr>
          <w:ilvl w:val="0"/>
          <w:numId w:val="1022"/>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22"/>
        </w:numPr>
      </w:pPr>
      <w:r>
        <w:t xml:space="preserve">Connect domain, Publish.</w:t>
      </w:r>
    </w:p>
    <w:p>
      <w:pPr>
        <w:numPr>
          <w:ilvl w:val="0"/>
          <w:numId w:val="1022"/>
        </w:numPr>
      </w:pPr>
      <w:r>
        <w:t xml:space="preserve">Verify in Chrome incognito (NOT Safari, over-caches).</w:t>
      </w:r>
    </w:p>
    <w:p>
      <w:pPr>
        <w:numPr>
          <w:ilvl w:val="0"/>
          <w:numId w:val="1022"/>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107"/>
    <w:bookmarkEnd w:id="108"/>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Implementation Guide </w:t>
    </w:r>
    <w:proofErr w:type="gramStart"/>
    <w:r>
      <w:rPr>
        <w:rFonts w:ascii="Montserrat" w:eastAsia="Montserrat" w:hAnsi="Montserrat" w:cs="Montserrat"/>
        <w:b/>
        <w:bCs/>
        <w:color w:val="E64C38"/>
        <w:sz w:val="18"/>
        <w:szCs w:val="18"/>
      </w:rPr>
      <w:t xml:space="preserve">v3.9.7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2026-08-26T05:49:39Z</dcterms:created>
  <dcterms:modified xsi:type="dcterms:W3CDTF">2026-08-26T05:49:39Z</dcterms:modified>
</cp:coreProperties>
</file>

<file path=docProps/custom.xml><?xml version="1.0" encoding="utf-8"?>
<Properties xmlns="http://schemas.openxmlformats.org/officeDocument/2006/custom-properties" xmlns:vt="http://schemas.openxmlformats.org/officeDocument/2006/docPropsVTypes"/>
</file>