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1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19"/>
    <w:bookmarkStart w:id="2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20"/>
    <w:bookmarkStart w:id="2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21"/>
    <w:bookmarkStart w:id="2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2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22"/>
    <w:bookmarkEnd w:id="23"/>
    <w:bookmarkStart w:id="2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24"/>
    <w:bookmarkStart w:id="2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25"/>
    <w:bookmarkStart w:id="2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26"/>
    <w:bookmarkStart w:id="2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27"/>
    <w:bookmarkStart w:id="2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28"/>
    <w:bookmarkStart w:id="2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29"/>
    <w:bookmarkStart w:id="3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w:t>
      </w:r>
      <w:r>
        <w:t xml:space="preserve"> </w:t>
      </w:r>
      <w:r>
        <w:t xml:space="preserve">“diagnosed”</w:t>
      </w:r>
      <w:r>
        <w:t xml:space="preserve"> </w:t>
      </w:r>
      <w:r>
        <w:t xml:space="preserve">and all. Scrubbing it to pass this scan breaks it.</w:t>
      </w:r>
    </w:p>
    <w:bookmarkEnd w:id="30"/>
    <w:bookmarkStart w:id="3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31"/>
    <w:bookmarkStart w:id="3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2"/>
    <w:bookmarkStart w:id="3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33"/>
    <w:bookmarkStart w:id="34" w:name="X4c841973e31ed136422f0c15a4f362a6c73c44a"/>
    <w:p>
      <w:pPr>
        <w:pStyle w:val="Heading2"/>
      </w:pPr>
      <w:r>
        <w:t xml:space="preserve">14b. Commercial dealer program (ESCALATE TO SCOTT)</w:t>
      </w:r>
    </w:p>
    <w:p>
      <w:pPr>
        <w:pStyle w:val="FirstParagraph"/>
      </w:pPr>
      <w:r>
        <w:rPr>
          <w:b/>
          <w:bCs/>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bCs/>
        </w:rPr>
        <w:t xml:space="preserve">What it is.</w:t>
      </w:r>
      <w:r>
        <w:t xml:space="preserve"> </w:t>
      </w:r>
      <w:r>
        <w:t xml:space="preserve">Dealers resell the</w:t>
      </w:r>
      <w:r>
        <w:t xml:space="preserve"> </w:t>
      </w:r>
      <w:r>
        <w:rPr>
          <w:b/>
          <w:bCs/>
        </w:rPr>
        <w:t xml:space="preserve">$8,950 commercial unit</w:t>
      </w:r>
      <w:r>
        <w:t xml:space="preserve"> </w:t>
      </w:r>
      <w:r>
        <w:t xml:space="preserve">and earn a commission on the final sale price. This is</w:t>
      </w:r>
      <w:r>
        <w:t xml:space="preserve"> </w:t>
      </w:r>
      <w:r>
        <w:rPr>
          <w:b/>
          <w:bCs/>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bCs/>
        </w:rPr>
        <w:t xml:space="preserve">Not US-only.</w:t>
      </w:r>
      <w:r>
        <w:t xml:space="preserve"> </w:t>
      </w:r>
      <w:r>
        <w:t xml:space="preserve">Commission is calculated on the actual sale price expressed in</w:t>
      </w:r>
      <w:r>
        <w:t xml:space="preserve"> </w:t>
      </w:r>
      <w:r>
        <w:rPr>
          <w:b/>
          <w:bCs/>
        </w:rPr>
        <w:t xml:space="preserve">USD</w:t>
      </w:r>
      <w:r>
        <w:t xml:space="preserve">, whatever the dealer’s local currency.</w:t>
      </w:r>
    </w:p>
    <w:p>
      <w:pPr>
        <w:pStyle w:val="BodyText"/>
      </w:pPr>
      <w:r>
        <w:rPr>
          <w:b/>
          <w:bCs/>
        </w:rPr>
        <w:t xml:space="preserve">The 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w:t>
            </w:r>
          </w:p>
        </w:tc>
        <w:tc>
          <w:tcPr/>
          <w:p>
            <w:pPr>
              <w:pStyle w:val="Compact"/>
            </w:pPr>
            <w:r>
              <w:t xml:space="preserve">$7,160.00</w:t>
            </w:r>
          </w:p>
        </w:tc>
      </w:tr>
    </w:tbl>
    <w:p>
      <w:pPr>
        <w:pStyle w:val="BodyText"/>
      </w:pPr>
      <w:r>
        <w:rPr>
          <w:b/>
          <w:bCs/>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bCs/>
        </w:rPr>
        <w:t xml:space="preserve">Deal registration.</w:t>
      </w:r>
      <w:r>
        <w:t xml:space="preserve"> </w:t>
      </w:r>
      <w:r>
        <w:t xml:space="preserve">A dealer registers a named facility and holds attribution on it for</w:t>
      </w:r>
      <w:r>
        <w:t xml:space="preserve"> </w:t>
      </w:r>
      <w:r>
        <w:rPr>
          <w:b/>
          <w:bCs/>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bCs/>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bookmarkEnd w:id="34"/>
    <w:bookmarkStart w:id="35"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Users</w:t>
            </w:r>
          </w:p>
        </w:tc>
        <w:tc>
          <w:tcPr/>
          <w:p>
            <w:pPr>
              <w:pStyle w:val="Compact"/>
            </w:pPr>
            <w:r>
              <w:t xml:space="preserve">600+ across 5 countries (</w:t>
            </w:r>
            <w:r>
              <w:rPr>
                <w:b/>
                <w:bCs/>
              </w:rPr>
              <w:t xml:space="preserve">say users, not customers</w:t>
            </w:r>
            <w:r>
              <w:t xml:space="preserve">)</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Dealer commission</w:t>
            </w:r>
          </w:p>
        </w:tc>
        <w:tc>
          <w:tcPr/>
          <w:p>
            <w:pPr>
              <w:pStyle w:val="Compact"/>
            </w:pPr>
            <w:r>
              <w:t xml:space="preserve">25 / 20 / 16 percent on final sale price, MAP floor $7,160 (section 14b)</w:t>
            </w:r>
          </w:p>
        </w:tc>
      </w:tr>
      <w:tr>
        <w:tc>
          <w:tcPr/>
          <w:p>
            <w:pPr>
              <w:pStyle w:val="Compact"/>
            </w:pPr>
            <w:r>
              <w:t xml:space="preserve">Facility referral</w:t>
            </w:r>
          </w:p>
        </w:tc>
        <w:tc>
          <w:tcPr/>
          <w:p>
            <w:pPr>
              <w:pStyle w:val="Compact"/>
            </w:pPr>
            <w:r>
              <w:t xml:space="preserve">$600 per Consumer Unit sale (section 14, escalate to Scott)</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35"/>
    <w:bookmarkStart w:id="43"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36"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36"/>
    <w:bookmarkStart w:id="37" w:name="Xfe5b76f7bdef9e74f6fe2238bfb78b1a0b0085c"/>
    <w:p>
      <w:pPr>
        <w:pStyle w:val="Heading3"/>
      </w:pPr>
      <w:r>
        <w:t xml:space="preserve">16.2 This list is exempt from the prohibited-words scan</w:t>
      </w:r>
    </w:p>
    <w:p>
      <w:pPr>
        <w:pStyle w:val="FirstParagraph"/>
      </w:pPr>
      <w:r>
        <w:t xml:space="preserve">The scan in section 11 blocks</w:t>
      </w:r>
      <w:r>
        <w:t xml:space="preserve"> </w:t>
      </w:r>
      <w:r>
        <w:t xml:space="preserve">“diagnose”</w:t>
      </w:r>
      <w:r>
        <w:t xml:space="preserve"> </w:t>
      </w:r>
      <w:r>
        <w:t xml:space="preserve">and</w:t>
      </w:r>
      <w:r>
        <w:t xml:space="preserve"> </w:t>
      </w:r>
      <w:r>
        <w:t xml:space="preserve">“disease”</w:t>
      </w:r>
      <w:r>
        <w:t xml:space="preserve"> </w:t>
      </w:r>
      <w:r>
        <w:t xml:space="preserve">in client-facing content. The contraindication list contains</w:t>
      </w:r>
      <w:r>
        <w:t xml:space="preserve"> </w:t>
      </w:r>
      <w:r>
        <w:t xml:space="preserve">“diagnosed”</w:t>
      </w:r>
      <w:r>
        <w:t xml:space="preserve"> </w:t>
      </w:r>
      <w:r>
        <w:t xml:space="preserve">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37"/>
    <w:bookmarkStart w:id="38"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w:t>
      </w:r>
      <w:r>
        <w:t xml:space="preserve"> </w:t>
      </w:r>
      <w:r>
        <w:t xml:space="preserve">“I stopped taking it”</w:t>
      </w:r>
      <w:r>
        <w:t xml:space="preserve"> </w:t>
      </w:r>
      <w:r>
        <w:t xml:space="preserve">is not the same as clear. That timing question also belongs to their physician, not to us.</w:t>
      </w:r>
    </w:p>
    <w:bookmarkEnd w:id="38"/>
    <w:bookmarkStart w:id="39"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39"/>
    <w:bookmarkStart w:id="40"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w:t>
      </w:r>
      <w:r>
        <w:t xml:space="preserve"> </w:t>
      </w:r>
      <w:r>
        <w:t xml:space="preserve">“do not use if.”</w:t>
      </w:r>
      <w:r>
        <w:t xml:space="preserve"> </w:t>
      </w:r>
      <w:r>
        <w:t xml:space="preserve">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40"/>
    <w:bookmarkStart w:id="41"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41"/>
    <w:bookmarkStart w:id="42"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42"/>
    <w:bookmarkEnd w:id="43"/>
    <w:bookmarkEnd w:id="4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Knowledge Base </w:t>
    </w:r>
    <w:proofErr w:type="gramStart"/>
    <w:r>
      <w:rPr>
        <w:rFonts w:ascii="Montserrat" w:eastAsia="Montserrat" w:hAnsi="Montserrat" w:cs="Montserrat"/>
        <w:b/>
        <w:bCs/>
        <w:color w:val="E64C38"/>
        <w:sz w:val="18"/>
        <w:szCs w:val="18"/>
      </w:rPr>
      <w:t xml:space="preserve">v2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2026-08-26T05:49:39Z</dcterms:created>
  <dcterms:modified xsi:type="dcterms:W3CDTF">2026-08-26T05:49:39Z</dcterms:modified>
</cp:coreProperties>
</file>

<file path=docProps/custom.xml><?xml version="1.0" encoding="utf-8"?>
<Properties xmlns="http://schemas.openxmlformats.org/officeDocument/2006/custom-properties" xmlns:vt="http://schemas.openxmlformats.org/officeDocument/2006/docPropsVTypes"/>
</file>