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749b8dc4f3e8c32f165bc91924f1f3a45fa0af8"/>
    <w:p>
      <w:pPr>
        <w:pStyle w:val="Heading2"/>
      </w:pPr>
      <w:r>
        <w:t xml:space="preserve">4b. Truemed HSA/FSA eligibility (started August 1, 2026)</w:t>
      </w:r>
    </w:p>
    <w:p>
      <w:pPr>
        <w:pStyle w:val="FirstParagraph"/>
      </w:pPr>
      <w:r>
        <w:t xml:space="preserve">Signing up with Truemed so the Enyrgy system is HSA/FSA eligible. Truemed issues a Letter of Medical Necessity through their own practitioner network; Enyrgy makes no medical claims and that boundary must hold.</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WAITING ON TRUEMED: per-SKU eligibility determination, in writing.</w:t>
      </w:r>
      <w:r>
        <w:t xml:space="preserve"> </w:t>
      </w:r>
      <w:r>
        <w:t xml:space="preserve">The Shopify export includes accessories; a wall mount is unlikely to qualify the way the device does. The badge can only appear where eligibility is substantiated.</w:t>
      </w:r>
    </w:p>
    <w:p>
      <w:pPr>
        <w:pStyle w:val="Compact"/>
        <w:numPr>
          <w:ilvl w:val="0"/>
          <w:numId w:val="1053"/>
        </w:numPr>
      </w:pPr>
      <w:r>
        <w:rPr>
          <w:b/>
          <w:bCs/>
        </w:rPr>
        <w:t xml:space="preserve">Badge and copy placement.</w:t>
      </w:r>
      <w:r>
        <w:t xml:space="preserve"> </w:t>
      </w:r>
      <w:r>
        <w:t xml:space="preserve">The real compliance work. Truemed supplies copy blocks written for supplement brands comfortable with language Enyrgy prohibits. Every block goes through the prohibited-words check before it lands on a product page, in checkout, or in an email. Enyrgy may say</w:t>
      </w:r>
      <w:r>
        <w:t xml:space="preserve"> </w:t>
      </w:r>
      <w:r>
        <w:t xml:space="preserve">“HSA/FSA eligible through Truemed”</w:t>
      </w:r>
      <w:r>
        <w:t xml:space="preserve">; it may NOT drift into condition-and-treatment language to justify the HSA angle.</w:t>
      </w:r>
    </w:p>
    <w:p>
      <w:pPr>
        <w:pStyle w:val="Compact"/>
        <w:numPr>
          <w:ilvl w:val="0"/>
          <w:numId w:val="1054"/>
        </w:numPr>
      </w:pPr>
      <w:r>
        <w:rPr>
          <w:b/>
          <w:bCs/>
        </w:rPr>
        <w:t xml:space="preserve">KB Section 3 payment options:</w:t>
      </w:r>
      <w:r>
        <w:t xml:space="preserve"> </w:t>
      </w:r>
      <w:r>
        <w:t xml:space="preserve">currently</w:t>
      </w:r>
      <w:r>
        <w:t xml:space="preserve"> </w:t>
      </w:r>
      <w:r>
        <w:t xml:space="preserve">“paid in full, financed, or rented monthly”</w:t>
      </w:r>
      <w:r>
        <w:t xml:space="preserve">. HSA/FSA joins that list once live,</w:t>
      </w:r>
      <w:r>
        <w:t xml:space="preserve"> </w:t>
      </w:r>
      <w:r>
        <w:rPr>
          <w:b/>
          <w:bCs/>
        </w:rPr>
        <w:t xml:space="preserve">and the live</w:t>
      </w:r>
      <w:r>
        <w:rPr>
          <w:b/>
          <w:bCs/>
        </w:rPr>
        <w:t xml:space="preserve"> </w:t>
      </w:r>
      <w:r>
        <w:rPr>
          <w:rStyle w:val="VerbatimChar"/>
          <w:b/>
          <w:bCs/>
        </w:rPr>
        <w:t xml:space="preserve">enyrgy-knowledge-base</w:t>
      </w:r>
      <w:r>
        <w:rPr>
          <w:b/>
          <w:bCs/>
        </w:rPr>
        <w:t xml:space="preserve"> </w:t>
      </w:r>
      <w:r>
        <w:rPr>
          <w:b/>
          <w:bCs/>
        </w:rPr>
        <w:t xml:space="preserve">skill must be re-synced</w:t>
      </w:r>
      <w:r>
        <w:t xml:space="preserve"> </w:t>
      </w:r>
      <w:r>
        <w:t xml:space="preserve">or Sales Outreach keeps telling prospects there are three ways to pay.</w:t>
      </w:r>
    </w:p>
    <w:p>
      <w:pPr>
        <w:pStyle w:val="Compact"/>
        <w:numPr>
          <w:ilvl w:val="0"/>
          <w:numId w:val="1055"/>
        </w:numPr>
      </w:pPr>
      <w:r>
        <w:rPr>
          <w:b/>
          <w:bCs/>
        </w:rPr>
        <w:t xml:space="preserve">Commercial-side question:</w:t>
      </w:r>
      <w:r>
        <w:t xml:space="preserve"> </w:t>
      </w:r>
      <w:r>
        <w:t xml:space="preserve">can a facility member use HSA/FSA against a membership that includes Enyrgy? That is the facility’s transaction, not Enyrgy’s, but it is directly relevant to the Beyond Wellness conversation. Worth answering before Gino comes back.</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6"/>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57"/>
        </w:numPr>
      </w:pPr>
      <w:r>
        <w:rPr>
          <w:b/>
          <w:bCs/>
        </w:rPr>
        <w:t xml:space="preserve">Four GHL workflows created and left in Draft</w:t>
      </w:r>
      <w:r>
        <w:t xml:space="preserve">, each with a mapping reference captured from a sample payload: WF-32, WF-32T, WF-33, WF-33T.</w:t>
      </w:r>
    </w:p>
    <w:p>
      <w:pPr>
        <w:pStyle w:val="Compact"/>
        <w:numPr>
          <w:ilvl w:val="0"/>
          <w:numId w:val="1058"/>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59"/>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59"/>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59"/>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59"/>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0"/>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1"/>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2"/>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3"/>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4"/>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5"/>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6"/>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67"/>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68"/>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69"/>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0"/>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1"/>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2"/>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2"/>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2"/>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2"/>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2"/>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2"/>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300f893d696a377e1662141194944a62e141ca4"/>
    <w:p>
      <w:pPr>
        <w:pStyle w:val="Heading2"/>
      </w:pPr>
      <w:r>
        <w:t xml:space="preserve">4f. Open question for regulatory counsel: does the general wellness policy apply to Enyrgy?</w:t>
      </w:r>
    </w:p>
    <w:p>
      <w:pPr>
        <w:pStyle w:val="FirstParagraph"/>
      </w:pPr>
      <w:r>
        <w:rPr>
          <w:b/>
          <w:bCs/>
        </w:rPr>
        <w:t xml:space="preserve">Not a KB item. Scott’s decision, August 4: the FDA guidance stays out of the KB.</w:t>
      </w:r>
      <w:r>
        <w:t xml:space="preserve"> </w:t>
      </w:r>
      <w:r>
        <w:t xml:space="preserve">The KB keeps the prohibited-words list and</w:t>
      </w:r>
      <w:r>
        <w:t xml:space="preserve"> </w:t>
      </w:r>
      <w:r>
        <w:t xml:space="preserve">“Enyrgy is a wellness device, not medical, and makes no medical claims”</w:t>
      </w:r>
      <w:r>
        <w:t xml:space="preserve">, and the reference to the guidance was removed from Section 11 because it instructed a check no agent could perform against a document that may not even govern Enyrgy.</w:t>
      </w:r>
    </w:p>
    <w:p>
      <w:pPr>
        <w:pStyle w:val="Compact"/>
        <w:numPr>
          <w:ilvl w:val="0"/>
          <w:numId w:val="1073"/>
        </w:numPr>
      </w:pPr>
      <w:r>
        <w:t xml:space="preserve">☐</w:t>
      </w:r>
      <w:r>
        <w:t xml:space="preserve"> </w:t>
      </w:r>
      <w:r>
        <w:rPr>
          <w:b/>
          <w:bCs/>
        </w:rPr>
        <w:t xml:space="preserve">Ask counsel whether Enyrgy falls under FDA’s General Wellness: Policy for Low Risk Devices</w:t>
      </w:r>
      <w:r>
        <w:t xml:space="preserve"> </w:t>
      </w:r>
      <w:r>
        <w:t xml:space="preserve">(issued January 6, 2026, superseding September 27, 2019, docket FDA-2014-N-1039). Scott has the PDF.</w:t>
      </w:r>
    </w:p>
    <w:p>
      <w:pPr>
        <w:pStyle w:val="Compact"/>
        <w:numPr>
          <w:ilvl w:val="0"/>
          <w:numId w:val="1073"/>
        </w:numPr>
      </w:pPr>
      <w:r>
        <w:rPr>
          <w:b/>
          <w:bCs/>
        </w:rPr>
        <w:t xml:space="preserve">Why it is worth one question to counsel.</w:t>
      </w:r>
      <w:r>
        <w:t xml:space="preserve"> </w:t>
      </w:r>
      <w:r>
        <w:t xml:space="preserve">The guidance is a scope policy, not a claims list. Its decision-tree question A3 excludes any product involving</w:t>
      </w:r>
      <w:r>
        <w:t xml:space="preserve"> </w:t>
      </w:r>
      <w:r>
        <w:t xml:space="preserve">“a technology that may pose a risk to the safety of users or other persons if specific regulatory controls are not applied, such as risks from lasers or</w:t>
      </w:r>
      <w:r>
        <w:t xml:space="preserve"> </w:t>
      </w:r>
      <w:r>
        <w:rPr>
          <w:b/>
          <w:bCs/>
        </w:rPr>
        <w:t xml:space="preserve">radiation exposure</w:t>
      </w:r>
      <w:r>
        <w:t xml:space="preserve">”</w:t>
      </w:r>
      <w:r>
        <w:t xml:space="preserve">. The test is about the technology rather than the marketing claim, and Enyrgy emits UV.</w:t>
      </w:r>
    </w:p>
    <w:p>
      <w:pPr>
        <w:pStyle w:val="Compact"/>
        <w:numPr>
          <w:ilvl w:val="0"/>
          <w:numId w:val="1073"/>
        </w:numPr>
      </w:pPr>
      <w:r>
        <w:rPr>
          <w:b/>
          <w:bCs/>
        </w:rPr>
        <w:t xml:space="preserve">Enyrgy is NOT a sunlamp product, and the guidance’s sunlamp example does not describe it</w:t>
      </w:r>
      <w:r>
        <w:t xml:space="preserve"> </w:t>
      </w:r>
      <w:r>
        <w:t xml:space="preserve">(Scott’s correction, Aug 4). Sunlamps are UVA-dominant because tanning is a UVA effect, and the regulatory category turns on being intended to tan the skin. Enyrgy is</w:t>
      </w:r>
      <w:r>
        <w:t xml:space="preserve"> </w:t>
      </w:r>
      <w:r>
        <w:rPr>
          <w:b/>
          <w:bCs/>
        </w:rPr>
        <w:t xml:space="preserve">over 90 percent UVB and under 10 percent UVA</w:t>
      </w:r>
      <w:r>
        <w:t xml:space="preserve"> </w:t>
      </w:r>
      <w:r>
        <w:t xml:space="preserve">(KB Section 4), the inverse, and is intended for vitamin D synthesis. An earlier version of this entry leaned on that example and was wrong to.</w:t>
      </w:r>
    </w:p>
    <w:p>
      <w:pPr>
        <w:pStyle w:val="Compact"/>
        <w:numPr>
          <w:ilvl w:val="0"/>
          <w:numId w:val="1073"/>
        </w:numPr>
      </w:pPr>
      <w:r>
        <w:rPr>
          <w:b/>
          <w:bCs/>
        </w:rPr>
        <w:t xml:space="preserve">The question survives the correction, on different ground.</w:t>
      </w:r>
      <w:r>
        <w:t xml:space="preserve"> </w:t>
      </w:r>
      <w:r>
        <w:t xml:space="preserve">A3 is not written around tanning; sunlamps are only its illustration. Whether a UVB-dominant device clears a radiation-exposure test is arguably the sharper question, since UVB is the band responsible for direct DNA damage. That is precisely why the platform has a per-skin-type MED and an automatic cutoff. Counsel can answer in one conversation whether those controls place Enyrgy inside this policy, inside a different device category, or outside both.</w:t>
      </w:r>
    </w:p>
    <w:p>
      <w:pPr>
        <w:pStyle w:val="Compact"/>
        <w:numPr>
          <w:ilvl w:val="0"/>
          <w:numId w:val="1073"/>
        </w:numPr>
      </w:pPr>
      <w:r>
        <w:rPr>
          <w:b/>
          <w:bCs/>
        </w:rPr>
        <w:t xml:space="preserve">This is very probably not a problem, and that is the point.</w:t>
      </w:r>
      <w:r>
        <w:t xml:space="preserve"> </w:t>
      </w:r>
      <w:r>
        <w:t xml:space="preserve">Being outside an enforcement-discretion policy is not a violation; it means the policy is the wrong reference. The likely reality is that Enyrgy sits in a different and correct regulatory category. What is worth untangling is that</w:t>
      </w:r>
      <w:r>
        <w:t xml:space="preserve"> </w:t>
      </w:r>
      <w:r>
        <w:rPr>
          <w:b/>
          <w:bCs/>
        </w:rPr>
        <w:t xml:space="preserve">“wellness device, not medical device”</w:t>
      </w:r>
      <w:r>
        <w:rPr>
          <w:b/>
          <w:bCs/>
        </w:rPr>
        <w:t xml:space="preserve"> </w:t>
      </w:r>
      <w:r>
        <w:rPr>
          <w:b/>
          <w:bCs/>
        </w:rPr>
        <w:t xml:space="preserve">may be marketing positioning rather than a regulatory classification</w:t>
      </w:r>
      <w:r>
        <w:t xml:space="preserve">, and the KB currently reads as though it were the latter.</w:t>
      </w:r>
    </w:p>
    <w:p>
      <w:pPr>
        <w:pStyle w:val="Compact"/>
        <w:numPr>
          <w:ilvl w:val="0"/>
          <w:numId w:val="1073"/>
        </w:numPr>
      </w:pPr>
      <w:r>
        <w:rPr>
          <w:b/>
          <w:bCs/>
        </w:rPr>
        <w:t xml:space="preserve">Same discipline already applied to securities.</w:t>
      </w:r>
      <w:r>
        <w:t xml:space="preserve"> </w:t>
      </w:r>
      <w:r>
        <w:t xml:space="preserve">Investor compliance runs through an attorney and the KB records the verbatim rule. Device claims have no equivalent owner recorded anywhere.</w:t>
      </w:r>
    </w:p>
    <w:p>
      <w:pPr>
        <w:pStyle w:val="Compact"/>
        <w:numPr>
          <w:ilvl w:val="0"/>
          <w:numId w:val="1073"/>
        </w:numPr>
      </w:pPr>
      <w:r>
        <w:rPr>
          <w:b/>
          <w:bCs/>
        </w:rPr>
        <w:t xml:space="preserve">Safely useful regardless of the answer:</w:t>
      </w:r>
      <w:r>
        <w:t xml:space="preserve"> </w:t>
      </w:r>
      <w:r>
        <w:t xml:space="preserve">the guidance’s Category 2 phrasing,</w:t>
      </w:r>
      <w:r>
        <w:t xml:space="preserve"> </w:t>
      </w:r>
      <w:r>
        <w:t xml:space="preserve">“as part of a healthy lifestyle, may help reduce the risk of X”</w:t>
      </w:r>
      <w:r>
        <w:t xml:space="preserve">, is a well-tested formulation and is the exact shape of Enyrgy’s nitric-oxide and cardiovascular framing. Adopting that construction is defensive good practice whether or not the guidance formally governs Enyrgy.</w:t>
      </w:r>
    </w:p>
    <w:bookmarkEnd w:id="17"/>
    <w:bookmarkStart w:id="18" w:name="X787c6ae49ec488fed45086d4c0a203c1e5c3e7f"/>
    <w:p>
      <w:pPr>
        <w:pStyle w:val="Heading2"/>
      </w:pPr>
      <w:r>
        <w:t xml:space="preserve">5. Strategic architecture decisions (mostly ratify, not build)</w:t>
      </w:r>
    </w:p>
    <w:p>
      <w:pPr>
        <w:pStyle w:val="Compact"/>
        <w:numPr>
          <w:ilvl w:val="0"/>
          <w:numId w:val="1074"/>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75"/>
        </w:numPr>
      </w:pPr>
      <w:r>
        <w:rPr>
          <w:b/>
          <w:bCs/>
        </w:rPr>
        <w:t xml:space="preserve">System-of-record ownership map:</w:t>
      </w:r>
      <w:r>
        <w:t xml:space="preserve"> </w:t>
      </w:r>
      <w:r>
        <w:t xml:space="preserve">ratify the documented SoR (decision/doc task).</w:t>
      </w:r>
    </w:p>
    <w:p>
      <w:pPr>
        <w:pStyle w:val="Compact"/>
        <w:numPr>
          <w:ilvl w:val="0"/>
          <w:numId w:val="1076"/>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77"/>
        </w:numPr>
      </w:pPr>
      <w:r>
        <w:rPr>
          <w:b/>
          <w:bCs/>
        </w:rPr>
        <w:t xml:space="preserve">OEM / Lumanova data boundary:</w:t>
      </w:r>
      <w:r>
        <w:t xml:space="preserve"> </w:t>
      </w:r>
      <w:r>
        <w:t xml:space="preserve">formalize an auditable path as the partner program grows.</w:t>
      </w:r>
    </w:p>
    <w:p>
      <w:pPr>
        <w:pStyle w:val="Compact"/>
        <w:numPr>
          <w:ilvl w:val="0"/>
          <w:numId w:val="1078"/>
        </w:numPr>
      </w:pPr>
      <w:r>
        <w:rPr>
          <w:b/>
          <w:bCs/>
        </w:rPr>
        <w:t xml:space="preserve">Metric governance owner:</w:t>
      </w:r>
      <w:r>
        <w:t xml:space="preserve"> </w:t>
      </w:r>
      <w:r>
        <w:t xml:space="preserve">figures reconciled; assign a single owner.</w:t>
      </w:r>
    </w:p>
    <w:p>
      <w:pPr>
        <w:pStyle w:val="Compact"/>
        <w:numPr>
          <w:ilvl w:val="0"/>
          <w:numId w:val="1079"/>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0"/>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8"/>
    <w:bookmarkStart w:id="19" w:name="future-optional"/>
    <w:p>
      <w:pPr>
        <w:pStyle w:val="Heading2"/>
      </w:pPr>
      <w:r>
        <w:t xml:space="preserve">6. Future / optional</w:t>
      </w:r>
    </w:p>
    <w:p>
      <w:pPr>
        <w:pStyle w:val="Compact"/>
        <w:numPr>
          <w:ilvl w:val="0"/>
          <w:numId w:val="1081"/>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2"/>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3"/>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4"/>
        </w:numPr>
      </w:pPr>
      <w:r>
        <w:rPr>
          <w:b/>
          <w:bCs/>
        </w:rPr>
        <w:t xml:space="preserve">Paid acquisition</w:t>
      </w:r>
      <w:r>
        <w:t xml:space="preserve"> </w:t>
      </w:r>
      <w:r>
        <w:t xml:space="preserve">(Meta/Google): after domain warmup finishes.</w:t>
      </w:r>
    </w:p>
    <w:p>
      <w:pPr>
        <w:pStyle w:val="Compact"/>
        <w:numPr>
          <w:ilvl w:val="0"/>
          <w:numId w:val="1085"/>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86"/>
        </w:numPr>
      </w:pPr>
      <w:r>
        <w:rPr>
          <w:b/>
          <w:bCs/>
        </w:rPr>
        <w:t xml:space="preserve">Form embeds:</w:t>
      </w:r>
      <w:r>
        <w:t xml:space="preserve"> </w:t>
      </w:r>
      <w:r>
        <w:t xml:space="preserve">Commercial Inquiry + Partner Application forms onto go.enyrgy.com (developer).</w:t>
      </w:r>
    </w:p>
    <w:p>
      <w:pPr>
        <w:pStyle w:val="Compact"/>
        <w:numPr>
          <w:ilvl w:val="0"/>
          <w:numId w:val="1087"/>
        </w:numPr>
      </w:pPr>
      <w:r>
        <w:rPr>
          <w:b/>
          <w:bCs/>
        </w:rPr>
        <w:t xml:space="preserve">Upgrade the abandoned-checkout Railway service off trial</w:t>
      </w:r>
      <w:r>
        <w:t xml:space="preserve"> </w:t>
      </w:r>
      <w:r>
        <w:t xml:space="preserve">(may already be on Hobby; confirm).</w:t>
      </w:r>
    </w:p>
    <w:bookmarkEnd w:id="19"/>
    <w:bookmarkStart w:id="20" w:name="X99a4122416d3be25b3ec730ee1c5d273b04fea6"/>
    <w:p>
      <w:pPr>
        <w:pStyle w:val="Heading2"/>
      </w:pPr>
      <w:r>
        <w:t xml:space="preserve">6b. Content backup gap: CLOSED August 3, 2026</w:t>
      </w:r>
    </w:p>
    <w:p>
      <w:pPr>
        <w:pStyle w:val="Compact"/>
        <w:numPr>
          <w:ilvl w:val="0"/>
          <w:numId w:val="1088"/>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89"/>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0"/>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0"/>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0"/>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0"/>
        </w:numPr>
      </w:pPr>
      <w:r>
        <w:rPr>
          <w:b/>
          <w:bCs/>
        </w:rPr>
        <w:t xml:space="preserve">Secondary benefit:</w:t>
      </w:r>
      <w:r>
        <w:t xml:space="preserve"> </w:t>
      </w:r>
      <w:r>
        <w:t xml:space="preserve">makes the copy greppable, so subject lines and claims can be located and audited without clicking through GHL.</w:t>
      </w:r>
    </w:p>
    <w:bookmarkEnd w:id="20"/>
    <w:bookmarkStart w:id="21" w:name="documentation-hygiene"/>
    <w:p>
      <w:pPr>
        <w:pStyle w:val="Heading2"/>
      </w:pPr>
      <w:r>
        <w:t xml:space="preserve">7. Documentation hygiene</w:t>
      </w:r>
    </w:p>
    <w:p>
      <w:pPr>
        <w:numPr>
          <w:ilvl w:val="0"/>
          <w:numId w:val="1091"/>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2"/>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3"/>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4"/>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095"/>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096"/>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097"/>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098"/>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099"/>
        </w:numPr>
      </w:pPr>
      <w:r>
        <w:rPr>
          <w:b/>
          <w:bCs/>
        </w:rPr>
        <w:t xml:space="preserve">Campaign copy backed up:</w:t>
      </w:r>
      <w:r>
        <w:t xml:space="preserve"> </w:t>
      </w:r>
      <w:r>
        <w:t xml:space="preserve">see 6b. Standing Rule 9 added to the handoff, save the artifact and not a description of it.</w:t>
      </w:r>
    </w:p>
    <w:bookmarkEnd w:id="21"/>
    <w:bookmarkStart w:id="22" w:name="X4ef6576507d0fd69ab3954b626c150ac8397a60"/>
    <w:p>
      <w:pPr>
        <w:pStyle w:val="Heading2"/>
      </w:pPr>
      <w:r>
        <w:t xml:space="preserve">8. Standing operating discipline (adopted Session 15)</w:t>
      </w:r>
    </w:p>
    <w:p>
      <w:pPr>
        <w:pStyle w:val="Compact"/>
        <w:numPr>
          <w:ilvl w:val="0"/>
          <w:numId w:val="1100"/>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1"/>
        </w:numPr>
      </w:pPr>
      <w:r>
        <w:rPr>
          <w:b/>
          <w:bCs/>
        </w:rPr>
        <w:t xml:space="preserve">Keep credit buffered and watch the Costs page.</w:t>
      </w:r>
      <w:r>
        <w:t xml:space="preserve"> </w:t>
      </w:r>
      <w:r>
        <w:t xml:space="preserve">Starvation is more expensive than headroom, not cheaper.</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2"/>
  </w:num>
  <w:num w:numId="1053">
    <w:abstractNumId w:val="992"/>
  </w:num>
  <w:num w:numId="1054">
    <w:abstractNumId w:val="992"/>
  </w:num>
  <w:num w:numId="1055">
    <w:abstractNumId w:val="992"/>
  </w:num>
  <w:num w:numId="1056">
    <w:abstractNumId w:val="993"/>
  </w:num>
  <w:num w:numId="1057">
    <w:abstractNumId w:val="993"/>
  </w:num>
  <w:num w:numId="1058">
    <w:abstractNumId w:val="993"/>
  </w:num>
  <w:num w:numId="1059">
    <w:abstractNumId w:val="991"/>
  </w:num>
  <w:num w:numId="1060">
    <w:abstractNumId w:val="992"/>
  </w:num>
  <w:num w:numId="1061">
    <w:abstractNumId w:val="992"/>
  </w:num>
  <w:num w:numId="1062">
    <w:abstractNumId w:val="992"/>
  </w:num>
  <w:num w:numId="1063">
    <w:abstractNumId w:val="992"/>
  </w:num>
  <w:num w:numId="1064">
    <w:abstractNumId w:val="992"/>
  </w:num>
  <w:num w:numId="1065">
    <w:abstractNumId w:val="993"/>
  </w:num>
  <w:num w:numId="1066">
    <w:abstractNumId w:val="993"/>
  </w:num>
  <w:num w:numId="1067">
    <w:abstractNumId w:val="993"/>
  </w:num>
  <w:num w:numId="1068">
    <w:abstractNumId w:val="993"/>
  </w:num>
  <w:num w:numId="1069">
    <w:abstractNumId w:val="993"/>
  </w:num>
  <w:num w:numId="1070">
    <w:abstractNumId w:val="992"/>
  </w:num>
  <w:num w:numId="1071">
    <w:abstractNumId w:val="993"/>
  </w:num>
  <w:num w:numId="1072">
    <w:abstractNumId w:val="991"/>
  </w:num>
  <w:num w:numId="1073">
    <w:abstractNumId w:val="991"/>
  </w:num>
  <w:num w:numId="1074">
    <w:abstractNumId w:val="992"/>
  </w:num>
  <w:num w:numId="1075">
    <w:abstractNumId w:val="992"/>
  </w:num>
  <w:num w:numId="1076">
    <w:abstractNumId w:val="992"/>
  </w:num>
  <w:num w:numId="1077">
    <w:abstractNumId w:val="992"/>
  </w:num>
  <w:num w:numId="1078">
    <w:abstractNumId w:val="992"/>
  </w:num>
  <w:num w:numId="1079">
    <w:abstractNumId w:val="993"/>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3"/>
  </w:num>
  <w:num w:numId="1089">
    <w:abstractNumId w:val="993"/>
  </w:num>
  <w:num w:numId="1090">
    <w:abstractNumId w:val="991"/>
  </w:num>
  <w:num w:numId="1091">
    <w:abstractNumId w:val="993"/>
  </w:num>
  <w:num w:numId="1092">
    <w:abstractNumId w:val="993"/>
  </w:num>
  <w:num w:numId="1093">
    <w:abstractNumId w:val="992"/>
  </w:num>
  <w:num w:numId="1094">
    <w:abstractNumId w:val="993"/>
  </w:num>
  <w:num w:numId="1095">
    <w:abstractNumId w:val="993"/>
  </w:num>
  <w:num w:numId="1096">
    <w:abstractNumId w:val="993"/>
  </w:num>
  <w:num w:numId="1097">
    <w:abstractNumId w:val="993"/>
  </w:num>
  <w:num w:numId="1098">
    <w:abstractNumId w:val="993"/>
  </w:num>
  <w:num w:numId="1099">
    <w:abstractNumId w:val="993"/>
  </w:num>
  <w:num w:numId="1100">
    <w:abstractNumId w:val="992"/>
  </w:num>
  <w:num w:numId="110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2026-08-05T05:43:42Z</dcterms:created>
  <dcterms:modified xsi:type="dcterms:W3CDTF">2026-08-05T05:43:42Z</dcterms:modified>
</cp:coreProperties>
</file>

<file path=docProps/custom.xml><?xml version="1.0" encoding="utf-8"?>
<Properties xmlns="http://schemas.openxmlformats.org/officeDocument/2006/custom-properties" xmlns:vt="http://schemas.openxmlformats.org/officeDocument/2006/docPropsVTypes"/>
</file>