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386c59d54a54d038daa00cccbf35a0e2bb0fc7b"/>
    <w:p>
      <w:pPr>
        <w:pStyle w:val="Heading2"/>
      </w:pPr>
      <w:r>
        <w:t xml:space="preserve">4f. KB compliance gap: the FDA wellness guidelines are cited but not contained</w:t>
      </w:r>
    </w:p>
    <w:p>
      <w:pPr>
        <w:pStyle w:val="FirstParagraph"/>
      </w:pPr>
      <w:r>
        <w:rPr>
          <w:b/>
          <w:bCs/>
        </w:rPr>
        <w:t xml:space="preserve">Found August 4, 2026. Affects every agent that composes client-facing copy, not any one feature.</w:t>
      </w:r>
    </w:p>
    <w:p>
      <w:pPr>
        <w:pStyle w:val="Compact"/>
        <w:numPr>
          <w:ilvl w:val="0"/>
          <w:numId w:val="1073"/>
        </w:numPr>
      </w:pPr>
      <w:r>
        <w:t xml:space="preserve">☐</w:t>
      </w:r>
      <w:r>
        <w:t xml:space="preserve"> </w:t>
      </w:r>
      <w:r>
        <w:rPr>
          <w:b/>
          <w:bCs/>
        </w:rPr>
        <w:t xml:space="preserve">Load the January 2026 FDA Guidelines for Wellness Products into KB Section 11.</w:t>
      </w:r>
      <w:r>
        <w:t xml:space="preserve"> </w:t>
      </w:r>
      <w:r>
        <w:t xml:space="preserve">The KB has required this review since it was written:</w:t>
      </w:r>
      <w:r>
        <w:t xml:space="preserve"> </w:t>
      </w:r>
      <w:r>
        <w:t xml:space="preserve">“Review all client-facing content against the January 2026 FDA Guidelines for Wellness Products before use.”</w:t>
      </w:r>
      <w:r>
        <w:t xml:space="preserve"> </w:t>
      </w:r>
      <w:r>
        <w:t xml:space="preserve">The rule is binding and correct.</w:t>
      </w:r>
      <w:r>
        <w:t xml:space="preserve"> </w:t>
      </w:r>
      <w:r>
        <w:rPr>
          <w:b/>
          <w:bCs/>
        </w:rPr>
        <w:t xml:space="preserve">What is missing is the document.</w:t>
      </w:r>
      <w:r>
        <w:t xml:space="preserve"> </w:t>
      </w:r>
      <w:r>
        <w:t xml:space="preserve">There is no summary, no clause list, no link and no copy anywhere in the repo.</w:t>
      </w:r>
    </w:p>
    <w:p>
      <w:pPr>
        <w:pStyle w:val="Compact"/>
        <w:numPr>
          <w:ilvl w:val="0"/>
          <w:numId w:val="1073"/>
        </w:numPr>
      </w:pPr>
      <w:r>
        <w:rPr>
          <w:b/>
          <w:bCs/>
        </w:rPr>
        <w:t xml:space="preserve">Why it matters more than a missing citation.</w:t>
      </w:r>
      <w:r>
        <w:t xml:space="preserve"> </w:t>
      </w:r>
      <w:r>
        <w:t xml:space="preserve">An agent cannot execute a review against a document it does not have. Faced with that instruction it will either treat the check as passed or reconstruct what it imagines the guidance says. Either way the result is a confident compliance claim resting on nothing, which is the confabulation failure already documented on this account, sitting on the most regulated thing Enyrgy writes.</w:t>
      </w:r>
    </w:p>
    <w:p>
      <w:pPr>
        <w:pStyle w:val="Compact"/>
        <w:numPr>
          <w:ilvl w:val="0"/>
          <w:numId w:val="1073"/>
        </w:numPr>
      </w:pPr>
      <w:r>
        <w:rPr>
          <w:b/>
          <w:bCs/>
        </w:rPr>
        <w:t xml:space="preserve">What is needed:</w:t>
      </w:r>
      <w:r>
        <w:t xml:space="preserve"> </w:t>
      </w:r>
      <w:r>
        <w:t xml:space="preserve">the operative content in KB Section 11, in the same usable form as the prohibited-words list beside it. A link is not sufficient for agents that cannot browse.</w:t>
      </w:r>
      <w:r>
        <w:t xml:space="preserve"> </w:t>
      </w:r>
      <w:r>
        <w:rPr>
          <w:b/>
          <w:bCs/>
        </w:rPr>
        <w:t xml:space="preserve">Scott to supply the document or an authoritative summary.</w:t>
      </w:r>
    </w:p>
    <w:p>
      <w:pPr>
        <w:pStyle w:val="Compact"/>
        <w:numPr>
          <w:ilvl w:val="0"/>
          <w:numId w:val="1073"/>
        </w:numPr>
      </w:pPr>
      <w:r>
        <w:rPr>
          <w:b/>
          <w:bCs/>
        </w:rPr>
        <w:t xml:space="preserve">Interim rule, already written into KB Section 11:</w:t>
      </w:r>
      <w:r>
        <w:t xml:space="preserve"> </w:t>
      </w:r>
      <w:r>
        <w:t xml:space="preserve">any agent instructed to perform this check must report that it could not, and must never report it as passed. A human reviews the affected copy instead.</w:t>
      </w:r>
    </w:p>
    <w:bookmarkEnd w:id="17"/>
    <w:bookmarkStart w:id="18" w:name="X787c6ae49ec488fed45086d4c0a203c1e5c3e7f"/>
    <w:p>
      <w:pPr>
        <w:pStyle w:val="Heading2"/>
      </w:pPr>
      <w:r>
        <w:t xml:space="preserve">5. Strategic architecture decisions (mostly ratify, not build)</w:t>
      </w:r>
    </w:p>
    <w:p>
      <w:pPr>
        <w:pStyle w:val="Compact"/>
        <w:numPr>
          <w:ilvl w:val="0"/>
          <w:numId w:val="1074"/>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5"/>
        </w:numPr>
      </w:pPr>
      <w:r>
        <w:rPr>
          <w:b/>
          <w:bCs/>
        </w:rPr>
        <w:t xml:space="preserve">System-of-record ownership map:</w:t>
      </w:r>
      <w:r>
        <w:t xml:space="preserve"> </w:t>
      </w:r>
      <w:r>
        <w:t xml:space="preserve">ratify the documented SoR (decision/doc task).</w:t>
      </w:r>
    </w:p>
    <w:p>
      <w:pPr>
        <w:pStyle w:val="Compact"/>
        <w:numPr>
          <w:ilvl w:val="0"/>
          <w:numId w:val="1076"/>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77"/>
        </w:numPr>
      </w:pPr>
      <w:r>
        <w:rPr>
          <w:b/>
          <w:bCs/>
        </w:rPr>
        <w:t xml:space="preserve">OEM / Lumanova data boundary:</w:t>
      </w:r>
      <w:r>
        <w:t xml:space="preserve"> </w:t>
      </w:r>
      <w:r>
        <w:t xml:space="preserve">formalize an auditable path as the partner program grows.</w:t>
      </w:r>
    </w:p>
    <w:p>
      <w:pPr>
        <w:pStyle w:val="Compact"/>
        <w:numPr>
          <w:ilvl w:val="0"/>
          <w:numId w:val="1078"/>
        </w:numPr>
      </w:pPr>
      <w:r>
        <w:rPr>
          <w:b/>
          <w:bCs/>
        </w:rPr>
        <w:t xml:space="preserve">Metric governance owner:</w:t>
      </w:r>
      <w:r>
        <w:t xml:space="preserve"> </w:t>
      </w:r>
      <w:r>
        <w:t xml:space="preserve">figures reconciled; assign a single owner.</w:t>
      </w:r>
    </w:p>
    <w:p>
      <w:pPr>
        <w:pStyle w:val="Compact"/>
        <w:numPr>
          <w:ilvl w:val="0"/>
          <w:numId w:val="1079"/>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0"/>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8"/>
    <w:bookmarkStart w:id="19" w:name="future-optional"/>
    <w:p>
      <w:pPr>
        <w:pStyle w:val="Heading2"/>
      </w:pPr>
      <w:r>
        <w:t xml:space="preserve">6. Future / optional</w:t>
      </w:r>
    </w:p>
    <w:p>
      <w:pPr>
        <w:pStyle w:val="Compact"/>
        <w:numPr>
          <w:ilvl w:val="0"/>
          <w:numId w:val="1081"/>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2"/>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3"/>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4"/>
        </w:numPr>
      </w:pPr>
      <w:r>
        <w:rPr>
          <w:b/>
          <w:bCs/>
        </w:rPr>
        <w:t xml:space="preserve">Paid acquisition</w:t>
      </w:r>
      <w:r>
        <w:t xml:space="preserve"> </w:t>
      </w:r>
      <w:r>
        <w:t xml:space="preserve">(Meta/Google): after domain warmup finishes.</w:t>
      </w:r>
    </w:p>
    <w:p>
      <w:pPr>
        <w:pStyle w:val="Compact"/>
        <w:numPr>
          <w:ilvl w:val="0"/>
          <w:numId w:val="1085"/>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6"/>
        </w:numPr>
      </w:pPr>
      <w:r>
        <w:rPr>
          <w:b/>
          <w:bCs/>
        </w:rPr>
        <w:t xml:space="preserve">Form embeds:</w:t>
      </w:r>
      <w:r>
        <w:t xml:space="preserve"> </w:t>
      </w:r>
      <w:r>
        <w:t xml:space="preserve">Commercial Inquiry + Partner Application forms onto go.enyrgy.com (developer).</w:t>
      </w:r>
    </w:p>
    <w:p>
      <w:pPr>
        <w:pStyle w:val="Compact"/>
        <w:numPr>
          <w:ilvl w:val="0"/>
          <w:numId w:val="1087"/>
        </w:numPr>
      </w:pPr>
      <w:r>
        <w:rPr>
          <w:b/>
          <w:bCs/>
        </w:rPr>
        <w:t xml:space="preserve">Upgrade the abandoned-checkout Railway service off trial</w:t>
      </w:r>
      <w:r>
        <w:t xml:space="preserve"> </w:t>
      </w:r>
      <w:r>
        <w:t xml:space="preserve">(may already be on Hobby; confirm).</w:t>
      </w:r>
    </w:p>
    <w:bookmarkEnd w:id="19"/>
    <w:bookmarkStart w:id="20" w:name="X99a4122416d3be25b3ec730ee1c5d273b04fea6"/>
    <w:p>
      <w:pPr>
        <w:pStyle w:val="Heading2"/>
      </w:pPr>
      <w:r>
        <w:t xml:space="preserve">6b. Content backup gap: CLOSED August 3, 2026</w:t>
      </w:r>
    </w:p>
    <w:p>
      <w:pPr>
        <w:pStyle w:val="Compact"/>
        <w:numPr>
          <w:ilvl w:val="0"/>
          <w:numId w:val="1088"/>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89"/>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0"/>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0"/>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0"/>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0"/>
        </w:numPr>
      </w:pPr>
      <w:r>
        <w:rPr>
          <w:b/>
          <w:bCs/>
        </w:rPr>
        <w:t xml:space="preserve">Secondary benefit:</w:t>
      </w:r>
      <w:r>
        <w:t xml:space="preserve"> </w:t>
      </w:r>
      <w:r>
        <w:t xml:space="preserve">makes the copy greppable, so subject lines and claims can be located and audited without clicking through GHL.</w:t>
      </w:r>
    </w:p>
    <w:bookmarkEnd w:id="20"/>
    <w:bookmarkStart w:id="21" w:name="documentation-hygiene"/>
    <w:p>
      <w:pPr>
        <w:pStyle w:val="Heading2"/>
      </w:pPr>
      <w:r>
        <w:t xml:space="preserve">7. Documentation hygiene</w:t>
      </w:r>
    </w:p>
    <w:p>
      <w:pPr>
        <w:numPr>
          <w:ilvl w:val="0"/>
          <w:numId w:val="1091"/>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2"/>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3"/>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4"/>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5"/>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096"/>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097"/>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098"/>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099"/>
        </w:numPr>
      </w:pPr>
      <w:r>
        <w:rPr>
          <w:b/>
          <w:bCs/>
        </w:rPr>
        <w:t xml:space="preserve">Campaign copy backed up:</w:t>
      </w:r>
      <w:r>
        <w:t xml:space="preserve"> </w:t>
      </w:r>
      <w:r>
        <w:t xml:space="preserve">see 6b. Standing Rule 9 added to the handoff, save the artifact and not a description of it.</w:t>
      </w:r>
    </w:p>
    <w:bookmarkEnd w:id="21"/>
    <w:bookmarkStart w:id="22" w:name="X4ef6576507d0fd69ab3954b626c150ac8397a60"/>
    <w:p>
      <w:pPr>
        <w:pStyle w:val="Heading2"/>
      </w:pPr>
      <w:r>
        <w:t xml:space="preserve">8. Standing operating discipline (adopted Session 15)</w:t>
      </w:r>
    </w:p>
    <w:p>
      <w:pPr>
        <w:pStyle w:val="Compact"/>
        <w:numPr>
          <w:ilvl w:val="0"/>
          <w:numId w:val="1100"/>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1"/>
        </w:numPr>
      </w:pPr>
      <w:r>
        <w:rPr>
          <w:b/>
          <w:bCs/>
        </w:rPr>
        <w:t xml:space="preserve">Keep credit buffered and watch the Costs page.</w:t>
      </w:r>
      <w:r>
        <w:t xml:space="preserve"> </w:t>
      </w:r>
      <w:r>
        <w:t xml:space="preserve">Starvation is more expensive than headroom, not cheaper.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1"/>
  </w:num>
  <w:num w:numId="1074">
    <w:abstractNumId w:val="992"/>
  </w:num>
  <w:num w:numId="1075">
    <w:abstractNumId w:val="992"/>
  </w:num>
  <w:num w:numId="1076">
    <w:abstractNumId w:val="992"/>
  </w:num>
  <w:num w:numId="1077">
    <w:abstractNumId w:val="992"/>
  </w:num>
  <w:num w:numId="1078">
    <w:abstractNumId w:val="992"/>
  </w:num>
  <w:num w:numId="1079">
    <w:abstractNumId w:val="993"/>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3"/>
  </w:num>
  <w:num w:numId="1089">
    <w:abstractNumId w:val="993"/>
  </w:num>
  <w:num w:numId="1090">
    <w:abstractNumId w:val="991"/>
  </w:num>
  <w:num w:numId="1091">
    <w:abstractNumId w:val="993"/>
  </w:num>
  <w:num w:numId="1092">
    <w:abstractNumId w:val="993"/>
  </w:num>
  <w:num w:numId="1093">
    <w:abstractNumId w:val="992"/>
  </w:num>
  <w:num w:numId="1094">
    <w:abstractNumId w:val="993"/>
  </w:num>
  <w:num w:numId="1095">
    <w:abstractNumId w:val="993"/>
  </w:num>
  <w:num w:numId="1096">
    <w:abstractNumId w:val="993"/>
  </w:num>
  <w:num w:numId="1097">
    <w:abstractNumId w:val="993"/>
  </w:num>
  <w:num w:numId="1098">
    <w:abstractNumId w:val="993"/>
  </w:num>
  <w:num w:numId="1099">
    <w:abstractNumId w:val="993"/>
  </w:num>
  <w:num w:numId="1100">
    <w:abstractNumId w:val="992"/>
  </w:num>
  <w:num w:numId="110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2026-08-05T05:30:54Z</dcterms:created>
  <dcterms:modified xsi:type="dcterms:W3CDTF">2026-08-05T05:30:54Z</dcterms:modified>
</cp:coreProperties>
</file>

<file path=docProps/custom.xml><?xml version="1.0" encoding="utf-8"?>
<Properties xmlns="http://schemas.openxmlformats.org/officeDocument/2006/custom-properties" xmlns:vt="http://schemas.openxmlformats.org/officeDocument/2006/docPropsVTypes"/>
</file>