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12"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9"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9"/>
    <w:bookmarkStart w:id="10"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0"/>
    <w:bookmarkStart w:id="11"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1"/>
    <w:bookmarkEnd w:id="12"/>
    <w:bookmarkEnd w:id="13"/>
    <w:bookmarkStart w:id="18" w:name="c-suite-4"/>
    <w:p>
      <w:pPr>
        <w:pStyle w:val="Heading1"/>
      </w:pPr>
      <w:r>
        <w:t xml:space="preserve">C-Suite (4)</w:t>
      </w:r>
    </w:p>
    <w:bookmarkStart w:id="14"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4"/>
    <w:bookmarkStart w:id="15"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5"/>
    <w:bookmarkStart w:id="16"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16"/>
    <w:bookmarkStart w:id="17"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now attorney-approved; any other investor document still requires approval);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17"/>
    <w:bookmarkEnd w:id="18"/>
    <w:bookmarkStart w:id="26" w:name="coo-division-7"/>
    <w:p>
      <w:pPr>
        <w:pStyle w:val="Heading1"/>
      </w:pPr>
      <w:r>
        <w:t xml:space="preserve">COO Division (7)</w:t>
      </w:r>
    </w:p>
    <w:bookmarkStart w:id="19"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19"/>
    <w:bookmarkStart w:id="20"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0"/>
    <w:bookmarkStart w:id="21"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Every issue you open or escalate must name the exact contacts by contact ID and quote the exact tags or fields you observed on each. Do not report a problem you cannot point to with a contact ID and the literal observed value. Read-only across contacts and opportunities; create tasks.</w:t>
      </w:r>
    </w:p>
    <w:p>
      <w:pPr>
        <w:pStyle w:val="BlockText"/>
      </w:pPr>
      <w:r>
        <w:rPr>
          <w:b/>
          <w:bCs/>
        </w:rPr>
        <w:t xml:space="preserve">Evidence discipline:</w:t>
      </w:r>
      <w:r>
        <w:t xml:space="preserve"> </w:t>
      </w:r>
      <w:r>
        <w:t xml:space="preserve">report only what the account literally shows. Read the actual tags and fields on the actual record; never infer a contact’s lifecycle status from its pipeline stage, or its stage from its tags. Different contact types are tracked differently: a magnet lead (carries</w:t>
      </w:r>
      <w:r>
        <w:t xml:space="preserve"> </w:t>
      </w:r>
      <w:r>
        <w:rPr>
          <w:rStyle w:val="VerbatimChar"/>
        </w:rPr>
        <w:t xml:space="preserve">magnet_lead</w:t>
      </w:r>
      <w:r>
        <w:t xml:space="preserve">) is tracked by its magnet and nurture tags plus its opportunity stage, not by</w:t>
      </w:r>
      <w:r>
        <w:t xml:space="preserve"> </w:t>
      </w:r>
      <w:r>
        <w:rPr>
          <w:rStyle w:val="VerbatimChar"/>
        </w:rPr>
        <w:t xml:space="preserve">status_</w:t>
      </w:r>
      <w:r>
        <w:t xml:space="preserve"> </w:t>
      </w:r>
      <w:r>
        <w:t xml:space="preserve">tags, so a magnet lead without a</w:t>
      </w:r>
      <w:r>
        <w:t xml:space="preserve"> </w:t>
      </w:r>
      <w:r>
        <w:rPr>
          <w:rStyle w:val="VerbatimChar"/>
        </w:rPr>
        <w:t xml:space="preserve">status_</w:t>
      </w:r>
      <w:r>
        <w:t xml:space="preserve"> </w:t>
      </w:r>
      <w:r>
        <w:t xml:space="preserve">tag is not an error. Your audit is a point-in-time snapshot and you cannot change data, so state in every escalation that a human must verify against the live account before any bulk change, and say how many contacts you actually inspected versus estimated.</w:t>
      </w:r>
    </w:p>
    <w:p>
      <w:pPr>
        <w:pStyle w:val="BlockText"/>
      </w:pPr>
      <w:r>
        <w:rPr>
          <w:b/>
          <w:bCs/>
        </w:rPr>
        <w:t xml:space="preserve">Escalate to COO when:</w:t>
      </w:r>
      <w:r>
        <w:t xml:space="preserve"> </w:t>
      </w:r>
      <w:r>
        <w:t xml:space="preserve">an issue is systemic, a workflow appears broken, or a fix needs a decision. Before you label anything systemic, confirm the pattern on a named sample with contact IDs and observed values, and state how many you verified rather than assuming the rest.</w:t>
      </w:r>
    </w:p>
    <w:p>
      <w:pPr>
        <w:pStyle w:val="BlockText"/>
      </w:pPr>
      <w:r>
        <w:rPr>
          <w:b/>
          <w:bCs/>
        </w:rPr>
        <w:t xml:space="preserve">Never:</w:t>
      </w:r>
      <w:r>
        <w:t xml:space="preserve"> </w:t>
      </w:r>
      <w:r>
        <w:t xml:space="preserve">send a prospect-facing message, change contact data yourself beyond opening tickets, close a ticket you did not verify as resolved, or state that a contact carries a tag, status, or value you did not directly observe on that contact’s own record.</w:t>
      </w:r>
    </w:p>
    <w:p>
      <w:pPr>
        <w:pStyle w:val="BlockText"/>
      </w:pPr>
      <w:r>
        <w:rPr>
          <w:b/>
          <w:bCs/>
        </w:rPr>
        <w:t xml:space="preserve">Facts:</w:t>
      </w:r>
      <w:r>
        <w:t xml:space="preserve"> </w:t>
      </w:r>
      <w:r>
        <w:t xml:space="preserve">read only from the shared knowledge base. Brand voice is peer-to-peer, Sunrise Orange, Montserrat, no em-dashes.</w:t>
      </w:r>
    </w:p>
    <w:bookmarkEnd w:id="21"/>
    <w:bookmarkStart w:id="22"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now attorney-approved; other investor material still requires approval before loading),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22"/>
    <w:bookmarkStart w:id="23"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3"/>
    <w:bookmarkStart w:id="24"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money-moving action (wire instructions or acceptance of investment) without verified accreditation (the subscription agreement and term sheet are pre-acceptance and are NOT gated),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24"/>
    <w:bookmarkStart w:id="25"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25"/>
    <w:bookmarkEnd w:id="26"/>
    <w:bookmarkStart w:id="33" w:name="cro-division-6"/>
    <w:p>
      <w:pPr>
        <w:pStyle w:val="Heading1"/>
      </w:pPr>
      <w:r>
        <w:t xml:space="preserve">CRO Division (6)</w:t>
      </w:r>
    </w:p>
    <w:bookmarkStart w:id="27"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28"/>
    <w:bookmarkStart w:id="29"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0"/>
    <w:bookmarkStart w:id="31"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testimonial activation. Send message, update tags and fields. Escalate to the Client Success Manager.</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w:t>
      </w:r>
    </w:p>
    <w:p>
      <w:pPr>
        <w:pStyle w:val="BlockText"/>
      </w:pPr>
      <w:r>
        <w:rPr>
          <w:b/>
          <w:bCs/>
        </w:rPr>
        <w:t xml:space="preserve">Testimonial ask (live):</w:t>
      </w:r>
      <w:r>
        <w:t xml:space="preserve"> </w:t>
      </w:r>
      <w:r>
        <w:t xml:space="preserve">the Customer Testimonial Form is live in the KB Section 3 (https://api.leadconnectorhq.com/widget/form/OjahkWeVDeozQkfG9dW2?notrack=true). Invite honest testimonials neutrally; do not positivity-gate.</w:t>
      </w:r>
    </w:p>
    <w:p>
      <w:pPr>
        <w:pStyle w:val="BlockText"/>
      </w:pPr>
      <w:r>
        <w:rPr>
          <w:b/>
          <w:bCs/>
        </w:rPr>
        <w:t xml:space="preserve">Referral (paused):</w:t>
      </w:r>
      <w:r>
        <w:t xml:space="preserve"> </w:t>
      </w:r>
      <w:r>
        <w:t xml:space="preserve">the referral program is deferred to the next version of Enyrgy, which will have a built-in loyalty and referral program. Do NOT send referral links, make referral offers, or re-feed referrals into the Consumer Drip until that program ships and its link and terms are in the KB.</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32"/>
    <w:bookmarkEnd w:id="33"/>
    <w:bookmarkStart w:id="34"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is now attorney-approved and may be used.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34"/>
    <w:bookmarkStart w:id="35" w:name="agent-to-workflow-map-quick-reference"/>
    <w:p>
      <w:pPr>
        <w:pStyle w:val="Heading1"/>
      </w:pPr>
      <w:r>
        <w:t xml:space="preserve">Agent-to-Workflow map (quick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2026-08-05T05:30:54Z</dcterms:created>
  <dcterms:modified xsi:type="dcterms:W3CDTF">2026-08-05T05:30:54Z</dcterms:modified>
</cp:coreProperties>
</file>

<file path=docProps/custom.xml><?xml version="1.0" encoding="utf-8"?>
<Properties xmlns="http://schemas.openxmlformats.org/officeDocument/2006/custom-properties" xmlns:vt="http://schemas.openxmlformats.org/officeDocument/2006/docPropsVTypes"/>
</file>