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Almacenamiento Inteligente</w:t>
      </w:r>
    </w:p>
    <w:p>
      <w:pPr>
        <w:pStyle w:val="Subtitle"/>
      </w:pPr>
      <w:r>
        <w:t>Documento maestro</w:t>
      </w:r>
    </w:p>
    <w:p>
      <w:r>
        <w:t>Versión 0.2  ·  09 de octubre de 2026</w:t>
      </w:r>
    </w:p>
    <w:p>
      <w:r>
        <w:t>Esta versión registra la implementación funcional del sistema base y desarrolla los requisitos de la versión 0.1. Mantiene las decisiones comerciales y distingue lo que está disponible de las ampliaciones pendientes.</w:t>
      </w:r>
    </w:p>
    <w:p>
      <w:pPr>
        <w:pStyle w:val="Heading2"/>
      </w:pPr>
      <w:r>
        <w:t>Visión y alcance</w:t>
      </w:r>
    </w:p>
    <w:p>
      <w:r>
        <w:t>Una plantilla web reutilizable que se instala por empresa y se adapta a su rubro. Cada cliente conserva su propia instalación, base de datos, configuración y credenciales. Una empresa puede tener varias sedes y almacenes con saldos independientes. No incluye planes ni suscripciones SaaS.</w:t>
      </w:r>
    </w:p>
    <w:p>
      <w:pPr>
        <w:pStyle w:val="Heading2"/>
      </w:pPr>
      <w:r>
        <w:t>Entrega de esta versión</w:t>
      </w:r>
    </w:p>
    <w:p>
      <w:r>
        <w:t>FastAPI y React con acceso por roles y sede, catálogo configurable, inventario, ventas y cobros, recepciones de compra, contactos, Excel, QR, estadísticas y auditoría. Incluye conexión configurable a un LLM y pronósticos sujetos a historial suficiente.</w:t>
      </w:r>
    </w:p>
    <w:p>
      <w:r>
        <w:t>La interfaz y los flujos del alcance base se verificaron. La integración fiscal, los controles especiales de lotes/series y la aceptación en PostgreSQL del cliente siguen pendientes. La entrega no equivale a la finalización de todos los requisitos originales.</w:t>
      </w:r>
    </w:p>
    <w:p>
      <w:pPr>
        <w:pStyle w:val="Heading2"/>
      </w:pPr>
      <w:r>
        <w:t>Documentación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5976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Referencia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Este documento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Decisiones, alcance, reglas, arquitectura y estado de v0.2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docs/requisitos.md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Estados F01–F17 y criterios de aceptación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docs/manual-usuario.md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Procedimientos, errores y capturas de la interfaz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LOCAL.md y DEPLOY.md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Actualizar, instalar, respaldar y desplegar por cliente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Requisitos de organización e inventario</w:t>
      </w:r>
    </w:p>
    <w:p>
      <w:r>
        <w:t>Conservamos los identificadores F01–F17 de v0.1. Parcial significa que el alcance indicado funciona y las extensiones listadas todavía no están disponibles. Implementado se refiere solo al alcance base descrito.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Empresa única, RUC, moneda, zona horaria, sedes, almacenes y estados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Logo, contacto de empresa, responsables, nomenclatura y parámetros generales de impuestos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Inicio y cierre de sesión, sesiones, cambio de contraseña, alta, edición y bloqueo de usuarios, recuperación local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Recuperación por correo, MFA, indicador dedicado del último acceso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Roles múltiples, acciones, protección de costos, alcance por sede, administración reservada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Doble aprobación, alcance por almacén y otros permisos por campo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SKU único, búsqueda por nombre, SKU y marca, categorías jerárquicas, edición y archivo de productos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Fotos/documentos, etiquetas, edición/baja de categorías y filtros de atributos/proveedor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Tipos configurables; texto, número, fecha, booleano y selección; campos requeridos; variantes independientes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Campos de archivo, series/activos, conversión de unidades y matriz masiva de variantes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Stock por almacén, entradas, salidas, ajustes y transferencias, saldo y Kardex, cantidades validadas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Reservas, ubicaciones internas, devolución parcial, mermas separadas y conteo físico asistido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Plantilla XLSX/CSV, vista previa/error por fila, actualización por SKU, lote atómico y exportaciones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Mapeo libre de columnas, importación de stock y filtros personalizados de exportación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F08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QR PNG con SKU; búsqueda por SKU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Cámara, hojas de etiquetas e integración con lectores</w:t>
            </w:r>
          </w:p>
        </w:tc>
      </w:tr>
    </w:tbl>
    <w:p>
      <w:pPr>
        <w:spacing w:after="60"/>
      </w:pPr>
    </w:p>
    <w:p>
      <w:r>
        <w:t>Prioridad original: F01–F07 pertenecen al MVP; F08 es segunda etapa. Se implementaron funciones de etapas posteriores sin dar por resueltas las extensiones del MVP.</w:t>
      </w:r>
    </w:p>
    <w:p>
      <w:r>
        <w:br w:type="page"/>
      </w:r>
    </w:p>
    <w:p>
      <w:pPr>
        <w:pStyle w:val="Heading1"/>
      </w:pPr>
      <w:r>
        <w:t>Requisitos comerciales y de inteligencia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F09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Clientes/proveedores, recepción completa, detalle/costos por recepción y stock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Orden previa, recepción parcial, devolución al proveedor y costeo promedio/FIFO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F10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Venta, descuento/impuesto, cobros parciales, saldo, medios de pago, anulación y PDF interno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SUNAT, notas de crédito, conciliación automática, cierre de caja y devolución parcial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Alertas visuales de mínimo/agotado en existencias registradas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Lotes, vencimientos, series, avisos externos y anomalías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Dashboard, ventas diarias/ranking/saldos, valoración autorizada de stock y exportación de datos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Comparativos, márgenes realizados, filtros completos, compras e informes estadísticos PDF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Adaptador LLM con herramientas autorizadas de catálogo, stock y resumen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Activar/probar proveedor real, RAG, conversación persistente y evaluación de exactitud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Ridge de calendario versus base semanal, backtesting, MAE/WAPE, bandas y horizonte 1–30 días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56 días completos reales; feriados/campañas, otros modelos, reposición e historial de ejecuciones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Argon2, cookie HttpOnly, CSRF, autorización, auditoría, controles Excel y scripts backup/restore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Probar restauración PostgreSQL, retención/programación de respaldo y límites distribuidos de login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 /api/v1, OpenAPI, validación, filtros/paginación y pruebas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Autenticación futura app móvil/POS e integraciones externas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React responsive, formularios dinámicos, estados de carga/error y navegación permitida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Auditoría formal de accesibilidad, cámara y modo sin conexión</w:t>
            </w:r>
          </w:p>
        </w:tc>
      </w:tr>
    </w:tbl>
    <w:p>
      <w:pPr>
        <w:spacing w:after="60"/>
      </w:pPr>
    </w:p>
    <w:p>
      <w:r>
        <w:t>Base: alcance base implementado. F09–F12: segunda etapa. F13–F14: inteligencia avanzada. F15–F17: MVP. Condicionado requiere proveedor configurado o historial suficiente; no se fabrican respuestas ni ventas para activar esos módulos.</w:t>
      </w:r>
    </w:p>
    <w:p>
      <w:r>
        <w:br w:type="page"/>
      </w:r>
    </w:p>
    <w:p>
      <w:pPr>
        <w:pStyle w:val="Heading1"/>
      </w:pPr>
      <w:r>
        <w:t>Reglas de negocio</w:t>
      </w:r>
    </w:p>
    <w:p>
      <w:pPr>
        <w:pStyle w:val="ListBullet"/>
      </w:pPr>
      <w:r>
        <w:t>Empresa única por instalación. Sede y almacén son ubicaciones internas de esa empresa, no otros clientes.</w:t>
      </w:r>
    </w:p>
    <w:p>
      <w:pPr>
        <w:pStyle w:val="ListBullet"/>
      </w:pPr>
      <w:r>
        <w:t>SKU único por artículo o variante. Variantes con un nivel de padre, mismo tipo y existencias independientes.</w:t>
      </w:r>
    </w:p>
    <w:p>
      <w:pPr>
        <w:pStyle w:val="ListBullet"/>
      </w:pPr>
      <w:r>
        <w:t>Cada cambio de stock genera movimiento, saldo, motivo, referencia, fecha y usuario. No se edita saldo directamente.</w:t>
      </w:r>
    </w:p>
    <w:p>
      <w:pPr>
        <w:pStyle w:val="ListBullet"/>
      </w:pPr>
      <w:r>
        <w:t>No se permite stock negativo. Transferencia confirma ambos almacenes juntos; una venta con faltante revierte todas las filas.</w:t>
      </w:r>
    </w:p>
    <w:p>
      <w:pPr>
        <w:pStyle w:val="ListBullet"/>
      </w:pPr>
      <w:r>
        <w:t>Confirmar venta descuenta existencias. Abrir formulario no reserva. Ventas, cobros y recepciones toleran reenvío de la misma petición.</w:t>
      </w:r>
    </w:p>
    <w:p>
      <w:pPr>
        <w:pStyle w:val="ListBullet"/>
      </w:pPr>
      <w:r>
        <w:t>Descuento es importe total de fila. Impuesto se añade al subtotal; precio no se interpreta automáticamente como incluido IGV.</w:t>
      </w:r>
    </w:p>
    <w:p>
      <w:pPr>
        <w:pStyle w:val="ListBullet"/>
      </w:pPr>
      <w:r>
        <w:t>Cobros parciales hasta el saldo. Yape, Plin y transferencia se registran tras verificación manual y requieren referencia.</w:t>
      </w:r>
    </w:p>
    <w:p>
      <w:pPr>
        <w:pStyle w:val="ListBullet"/>
      </w:pPr>
      <w:r>
        <w:t>Anular restaura la venta completa una sola vez. Conserva cobros; reembolso y conciliación se realizan fuera del sistema.</w:t>
      </w:r>
    </w:p>
    <w:p>
      <w:pPr>
        <w:pStyle w:val="ListBullet"/>
      </w:pPr>
      <w:r>
        <w:t>Recepción completa aumenta stock y conserva costos. No actualiza automáticamente el costo de valoración del catálogo.</w:t>
      </w:r>
    </w:p>
    <w:p>
      <w:pPr>
        <w:pStyle w:val="ListBullet"/>
      </w:pPr>
      <w:r>
        <w:t>Archivar maestros conserva operaciones históricas e impide nuevas operaciones con productos/ubicaciones inactivos.</w:t>
      </w:r>
    </w:p>
    <w:p>
      <w:pPr>
        <w:pStyle w:val="ListBullet"/>
      </w:pPr>
      <w:r>
        <w:t>Importar aplica todo el lote o revierte. Cada SKU representa una fila completa; las columnas omitidas usan valores por defecto, salvo costo omitido que se conserva al actualizar.</w:t>
      </w:r>
    </w:p>
    <w:p>
      <w:pPr>
        <w:pStyle w:val="ListBullet"/>
      </w:pPr>
      <w:r>
        <w:t>Ante un error de red en movimiento manual, consultar Kardex antes de repetir: ese flujo aún no usa identificador de petición.</w:t>
      </w:r>
    </w:p>
    <w:p>
      <w:pPr>
        <w:pStyle w:val="Heading2"/>
      </w:pPr>
      <w:r>
        <w:t>Significado de los indicadores</w:t>
      </w:r>
    </w:p>
    <w:p>
      <w:r>
        <w:t>Venta es una operación comercial confirmada; cobro es dinero registrado como recibido; pendiente es saldo de ventas vigentes. Valor de inventario usa cantidad por costo configurado. Estas cifras no representan por sí solas utilidad contable.</w:t>
      </w:r>
    </w:p>
    <w:p>
      <w:r>
        <w:br w:type="page"/>
      </w:r>
    </w:p>
    <w:p>
      <w:pPr>
        <w:pStyle w:val="Heading1"/>
      </w:pPr>
      <w:r>
        <w:t>Roles y alcance</w:t>
      </w:r>
    </w:p>
    <w:p>
      <w:r>
        <w:t>Roles múltiples suman permisos. El propietario es una cuenta reservada con alcance global, no un rol editable. Otros usuarios operan solo en sus sedes; una lista vacía no otorga alcance global. Catálogo y contactos son maestros compartidos de la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184"/>
        <w:gridCol w:w="266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Rol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Permisos iniciales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Alcance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Propietario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Todo; usuarios, roles y auditoría global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completa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Permisos operativos excepto auditoría; sin administración de identidades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Almacenero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e inventario, edición de productos, movimientos/ajustes,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Vendedor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contactos, crear ventas y registrar cobros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anulación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Analista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reportes, IA, pronósticos y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edición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Lector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 de empresa, sedes, productos y stock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</w:tbl>
    <w:p>
      <w:pPr>
        <w:spacing w:after="60"/>
      </w:pPr>
    </w:p>
    <w:p>
      <w:pPr>
        <w:pStyle w:val="Heading2"/>
      </w:pPr>
      <w:r>
        <w:t>Acciones sensibles</w:t>
      </w:r>
    </w:p>
    <w:p>
      <w:pPr>
        <w:pStyle w:val="ListBullet"/>
      </w:pPr>
      <w:r>
        <w:t>costos.ver protege costos desde la API, Excel y detalle. Consultar/recibir compras exige ese permiso.</w:t>
      </w:r>
    </w:p>
    <w:p>
      <w:pPr>
        <w:pStyle w:val="ListBullet"/>
      </w:pPr>
      <w:r>
        <w:t>inventario.ajustar se requiere junto a inventario.mover para ajustes y transferencias.</w:t>
      </w:r>
    </w:p>
    <w:p>
      <w:pPr>
        <w:pStyle w:val="ListBullet"/>
      </w:pPr>
      <w:r>
        <w:t>ventas.anular y pagos.registrar se asignan por separado. IA y pronósticos tienen permisos propios.</w:t>
      </w:r>
    </w:p>
    <w:p>
      <w:pPr>
        <w:pStyle w:val="ListBullet"/>
      </w:pPr>
      <w:r>
        <w:t>Solo el propietario crea sedes nuevas, administra usuarios/roles y consulta auditoría global.</w:t>
      </w:r>
    </w:p>
    <w:p>
      <w:pPr>
        <w:pStyle w:val="ListBullet"/>
      </w:pPr>
      <w:r>
        <w:t>Lectura y acción se asignan juntas para usar selectores. Cambiar rol no asigna sedes automáticamente.</w:t>
      </w:r>
    </w:p>
    <w:p>
      <w:r>
        <w:t>La matriz exacta de códigos y dependencias está en docs/pantallas-permisos.md. Permisos por almacén individual, herencia y doble aprobación siguen pendientes.</w:t>
      </w:r>
    </w:p>
    <w:p>
      <w:r>
        <w:br w:type="page"/>
      </w:r>
    </w:p>
    <w:p>
      <w:pPr>
        <w:pStyle w:val="Heading1"/>
      </w:pPr>
      <w:r>
        <w:t>Pantallas y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Pantalla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Contenido y acciones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Acceso y perfil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Login, logout y cambio de contraseña; recuperación mediante responsable local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Vista general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Ventas, saldos, ranking, evolución y mínimos; valoración autorizada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Búsqueda, tipos/campos, categorías, productos/variantes, archivo y QR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Existencias, Kardex y entrada/salida/ajuste/transferencia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y cobros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Crear venta, detalle, cobros, saldo, anulación y constancia PDF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Recepción completa y consulta del detalle de costos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Clientes/proveedores con edición y estado lógico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y sedes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Identidad, moneda, zona horaria y ubicaciones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Importar y exportar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Plantilla, prevalidación, confirmación y descargas autorizadas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Inteligencia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Pregunta con fuentes; pronóstico y comparación de modelos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 y auditoría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Roles/usuarios/sedes por propietario; eventos de consulta global</w:t>
            </w:r>
          </w:p>
        </w:tc>
      </w:tr>
    </w:tbl>
    <w:p>
      <w:pPr>
        <w:spacing w:after="60"/>
      </w:pPr>
    </w:p>
    <w:p>
      <w:r>
        <w:t>La navegación muestra solo módulos permitidos. Listados de 50 filas, estados vacío/carga/error, búsqueda de productos en servidor y formularios con botón bloqueado durante envío. En teléfono el menú se abre con su botón y se cierra tras elegir pantalla.</w:t>
      </w:r>
    </w:p>
    <w:p>
      <w:r>
        <w:t>Alcance de v0.2: selectores generales hasta 1000 ubicaciones/contactos; productos se buscan de 20 en 20. Excel exporta todos los registros autorizados. No hay modo sin conexión ni certificación formal de accesibilidad.</w:t>
      </w:r>
    </w:p>
    <w:p>
      <w:r>
        <w:br w:type="page"/>
      </w:r>
    </w:p>
    <w:p>
      <w:pPr>
        <w:pStyle w:val="Heading1"/>
      </w:pPr>
      <w:r>
        <w:t>Arquitectura técnica</w:t>
      </w:r>
    </w:p>
    <w:p>
      <w:r>
        <w:t>Monolito modular con FastAPI, SQLAlchemy y PostgreSQL. React con TypeScript/Vite consume la API versionada. FastAPI sirve el frontend compilado; Vite utiliza un proxy en desarrollo. Esta estructura permite reutilizar módulos y configurar diferencias por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4752"/>
        <w:gridCol w:w="3240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Capa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Ruta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Interfaz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Formularios, búsqueda y visualización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frontend/src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Validación, sesión y permisos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backend/app/api/routes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Servicios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Stock, atributos, analítica y ML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backend/app/services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Persistencia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Modelos, integridad y transacciones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backend/app/models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Evolución ordenada del esquema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backend/migrations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Operación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Instalador, respaldo, Docker y CI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scripts, deployment, .github</w:t>
            </w:r>
          </w:p>
        </w:tc>
      </w:tr>
    </w:tbl>
    <w:p>
      <w:pPr>
        <w:spacing w:after="60"/>
      </w:pPr>
    </w:p>
    <w:p>
      <w:pPr>
        <w:pStyle w:val="Heading2"/>
      </w:pPr>
      <w:r>
        <w:t>Sesión y seguridad</w:t>
      </w:r>
    </w:p>
    <w:p>
      <w:r>
        <w:t>Contraseñas Argon2. Cookie HttpOnly y SameSite=Lax con token aleatorio opaco; solo hash de sesión en base. Mutaciones requieren CSRF y Origin permitido. El backend verifica permisos y sedes en cada ruta. Cambiar contraseña o editar/bloquear usuario revoca sus sesiones.</w:t>
      </w:r>
    </w:p>
    <w:p>
      <w:r>
        <w:t>Producción exige cookie Secure y PostgreSQL. Proxy con TLS y dominio propio, base sin puerto público y secretos fuera de Git. El límite de login es por proceso; varios workers requieren limitación compartida o proxy.</w:t>
      </w:r>
    </w:p>
    <w:p>
      <w:pPr>
        <w:pStyle w:val="Heading2"/>
      </w:pPr>
      <w:r>
        <w:t>Archivos e integraciones</w:t>
      </w:r>
    </w:p>
    <w:p>
      <w:r>
        <w:t>PDF, QR y Excel se generan en memoria. La subida de imágenes/documentos y su almacenamiento separado siguen pendientes. SUNAT, pagos automáticos y RAG requieren adaptadores y validación propia; no se presentan como implementados.</w:t>
      </w:r>
    </w:p>
    <w:p>
      <w:r>
        <w:br w:type="page"/>
      </w:r>
    </w:p>
    <w:p>
      <w:pPr>
        <w:pStyle w:val="Heading1"/>
      </w:pPr>
      <w:r>
        <w:t>Modelo de datos e integridad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63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Grupo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Tablas o relación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Organización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→ sedes → almacenes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usuarios, roles, sesiones, auditoria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tipos_producto.campos JSON, categorias con padre, productos con atributos y producto_padre_id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 por producto/almacén; movimientos con cantidad firmada y saldo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→ venta_detalles / pagos; cliente y almacén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 → compra_detalles; proveedor, cantidades y costos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Importaciones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usuario, fecha, cantidad y vínculo de auditoría</w:t>
            </w:r>
          </w:p>
        </w:tc>
      </w:tr>
    </w:tbl>
    <w:p>
      <w:pPr>
        <w:spacing w:after="60"/>
      </w:pPr>
    </w:p>
    <w:p>
      <w:pPr>
        <w:pStyle w:val="Heading2"/>
      </w:pPr>
      <w:r>
        <w:t>Transacciones</w:t>
      </w:r>
    </w:p>
    <w:p>
      <w:r>
        <w:t>Antes de modificar existencias se bloquean productos en orden de ID, incluidos los primeros movimientos de un almacén. Una restricción evita pares duplicados y otra stock negativo. Venta, recepción y transferencia confirman todo o revierten. Dinero usa Decimal y dos decimales; cantidad admite tres.</w:t>
      </w:r>
    </w:p>
    <w:p>
      <w:r>
        <w:t>Venta conserva nombre, SKU, precio y costo históricos. Compra conserva costo/cantidad; consulta nombres actuales del catálogo. Fechas almacenadas en UTC, agrupación según zona horaria de empresa. El catálogo archivado sigue disponible para consultar historia.</w:t>
      </w:r>
    </w:p>
    <w:p>
      <w:pPr>
        <w:pStyle w:val="Heading2"/>
      </w:pPr>
      <w:r>
        <w:t>Evolución del esquema</w:t>
      </w:r>
    </w:p>
    <w:p>
      <w:r>
        <w:t>Se conserva 863dfa867d08 de v0.1. Las revisiones siguientes añaden tablas e índices; no se reinicia la base ni se utiliza create_all en arranque. Roles/sedes del usuario son listas JSON validadas por API; una evolución con grupos complejos debería utilizar tablas de asociación.</w:t>
      </w:r>
    </w:p>
    <w:p>
      <w:r>
        <w:t>SQLite de pruebas no reproduce bloqueos PostgreSQL. La aceptación en el motor real debe incluir dos usuarios que intentan vender el mismo saldo y una restauración en base separada.</w:t>
      </w:r>
    </w:p>
    <w:p>
      <w:r>
        <w:br w:type="page"/>
      </w:r>
    </w:p>
    <w:p>
      <w:pPr>
        <w:pStyle w:val="Heading1"/>
      </w:pPr>
      <w:r>
        <w:t>Asistente y pronósticos</w:t>
      </w:r>
    </w:p>
    <w:p>
      <w:pPr>
        <w:pStyle w:val="Heading2"/>
      </w:pPr>
      <w:r>
        <w:t>Asistente conectado a datos</w:t>
      </w:r>
    </w:p>
    <w:p>
      <w:r>
        <w:t>Proveedor configurable compatible con Chat Completions y llamadas a funciones. El backend habilita solo herramientas autorizadas: buscar catálogo, stock por sede y resumen. Valida argumentos, limita intercambios/resultados y no permite SQL libre ni acciones de escritura.</w:t>
      </w:r>
    </w:p>
    <w:p>
      <w:r>
        <w:t>Sin modelo configurado devuelve estado explícito de no configuración. No se probó una conexión real porque no se suministraron credenciales. La prueba usa un proveedor simulado para verificar herramientas, permisos y errores, sin presentarlo como servicio operativo.</w:t>
      </w:r>
    </w:p>
    <w:p>
      <w:r>
        <w:t>El proveedor recibe la pregunta y resultados autorizados. Debe definirse con cada cliente si usar proveedor externo o local. RAG para PDF/manuales, conversación persistente y evaluación de respuestas siguen pendientes.</w:t>
      </w:r>
    </w:p>
    <w:p>
      <w:pPr>
        <w:pStyle w:val="Heading2"/>
      </w:pPr>
      <w:r>
        <w:t>Pronósticos con historial</w:t>
      </w:r>
    </w:p>
    <w:p>
      <w:r>
        <w:t>Requiere al menos 56 días completos desde el inicio del historial. Sin producto predice importe de ventas confirmadas; con producto predice unidades vendidas. Excluye hoy parcial y rellena fechas sin registros con cero.</w:t>
      </w:r>
    </w:p>
    <w:p>
      <w:r>
        <w:t>Compara repetición semanal con Ridge usando tendencia, día de semana, fin de semana y ciclo anual. Dos cortes cronológicos de siete días entrenan solo con fechas anteriores. Selecciona menor MAE; WAPE se muestra si el denominador permite calcularlo.</w:t>
      </w:r>
    </w:p>
    <w:p>
      <w:r>
        <w:t>Horizonte de uno a treinta días desde hoy. Banda basada en el percentil 90 del error absoluto de validación, sin cobertura calibrada. No estima demanda perdida por agotamiento, beneficio ni dinero cobrado.</w:t>
      </w:r>
    </w:p>
    <w:p>
      <w:r>
        <w:t>Feriados/campañas, ARIMA/Prophet/árboles, persistencia de modelos/ejecuciones, anomalías y sugerencias de compra necesitan otra etapa y datos de negocio reales.</w:t>
      </w:r>
    </w:p>
    <w:p>
      <w:r>
        <w:br w:type="page"/>
      </w:r>
    </w:p>
    <w:p>
      <w:pPr>
        <w:pStyle w:val="Heading1"/>
      </w:pPr>
      <w:r>
        <w:t>Verificación e instalación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Comprobación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Resultado de la entrega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de API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18 casos pasan sobre SQLite; permisos, stock, comercial, Excel, ML y herramientas 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Upgrade y check sin diferencias; datos v0.1 preservados en prueba; SQL PostgreSQL compilado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React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npm ci, TypeScript/build, ESLint y formato verificados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Navegador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Login, producto, entrada, venta, cobro, proveedor, recepción y navegación móvil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Límites de verificación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PostgreSQL real/Windows, backup/restore, Docker y proveedor LLM real no ejecutados aquí</w:t>
            </w:r>
          </w:p>
        </w:tc>
      </w:tr>
    </w:tbl>
    <w:p>
      <w:pPr>
        <w:spacing w:after="60"/>
      </w:pPr>
    </w:p>
    <w:p>
      <w:pPr>
        <w:pStyle w:val="Heading2"/>
      </w:pPr>
      <w:r>
        <w:t>Actualizar en el equipo actual</w:t>
      </w:r>
    </w:p>
    <w:p>
      <w:r>
        <w:t>Detener servidores, extraer la entrega aparte y copiar fuentes sobre el repositorio. Conservar .git, backend/.env, entorno virtual y PostgreSQL. Respaldo primero; el instalador conserva .env y aplica migraciones sin borrar empresa/sedes/almacenes.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Desde la raíz del repositorio en PowerShell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powershell -ExecutionPolicy Bypass -File scripts\setup.ps1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cd backend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app.cli init-owner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uvicorn app.main:app --reload</w:t>
      </w:r>
    </w:p>
    <w:p>
      <w:r>
        <w:t>Crear propietario solo si todavía no existe. Abrir http://localhost:8000 y configurar la instalación. Procedimiento completo, respaldo y comandos Git en LOCAL.md; despliegue por dominio/TLS en DEPLOY.md.</w:t>
      </w:r>
    </w:p>
    <w:p>
      <w:pPr>
        <w:pStyle w:val="Heading2"/>
      </w:pPr>
      <w:r>
        <w:t>Antes de comercializar</w:t>
      </w:r>
    </w:p>
    <w:p>
      <w:r>
        <w:t>Probar PostgreSQL y concurrencia, backup y restauración, reglas de impuestos y permisos del cliente, y dominio seguro. La constancia PDF es interna; integrar SUNAT si se exige emisión fiscal. No incluir claves ni datos reales en el repositorio.</w:t>
      </w:r>
    </w:p>
    <w:p>
      <w:r>
        <w:br w:type="page"/>
      </w:r>
    </w:p>
    <w:p>
      <w:pPr>
        <w:pStyle w:val="Heading1"/>
      </w:pPr>
      <w:r>
        <w:t>Manual evolutivo y próximos entregables</w:t>
      </w:r>
    </w:p>
    <w:p>
      <w:r>
        <w:t>El manual completo está en docs/manual-usuario.md con objetivo, requisitos/permisos, pasos, resultado, errores, captura y versión. Solo documenta como disponible lo que tiene código e interfaz; explica los módulos condicionados.</w:t>
      </w:r>
    </w:p>
    <w:p>
      <w:pPr>
        <w:pStyle w:val="Heading2"/>
      </w:pPr>
      <w:r>
        <w:t>Secuencia inicial de operación</w:t>
      </w:r>
    </w:p>
    <w:p>
      <w:pPr>
        <w:pStyle w:val="ListBullet"/>
      </w:pPr>
      <w:r>
        <w:t>Propietario configura empresa, sede y almacén; crea usuarios con roles y sedes.</w:t>
      </w:r>
    </w:p>
    <w:p>
      <w:pPr>
        <w:pStyle w:val="ListBullet"/>
      </w:pPr>
      <w:r>
        <w:t>Operador crea tipo, categorías y productos/variantes; valida atributos y SKU.</w:t>
      </w:r>
    </w:p>
    <w:p>
      <w:pPr>
        <w:pStyle w:val="ListBullet"/>
      </w:pPr>
      <w:r>
        <w:t>Almacenero carga existencias mediante entrada o recepción y revisa Kardex.</w:t>
      </w:r>
    </w:p>
    <w:p>
      <w:pPr>
        <w:pStyle w:val="ListBullet"/>
      </w:pPr>
      <w:r>
        <w:t>Vendedor confirma venta, verifica ingreso de dinero, registra cobro y descarga constancia.</w:t>
      </w:r>
    </w:p>
    <w:p>
      <w:pPr>
        <w:pStyle w:val="ListBullet"/>
      </w:pPr>
      <w:r>
        <w:t>Responsable consulta estadísticas, revisa auditoría y realiza respaldo verificable.</w:t>
      </w:r>
    </w:p>
    <w:p>
      <w:pPr>
        <w:pStyle w:val="Heading2"/>
      </w:pPr>
      <w:r>
        <w:t>Adaptación por rubro</w:t>
      </w:r>
    </w:p>
    <w:p>
      <w:r>
        <w:t>Ropa: talla/color y SKU por variante. Ferretería: medidas/material y cantidades decimales. Bodega: recepciones/ventas con cobro manual; lotes/vencimientos todavía requieren ampliación. Maquinaria: atributos y cantidad, sin mantenimiento, préstamo o serie individual.</w:t>
      </w:r>
    </w:p>
    <w:p>
      <w:pPr>
        <w:pStyle w:val="Heading2"/>
      </w:pPr>
      <w:r>
        <w:t>Prioridades de la siguiente versión</w:t>
      </w:r>
    </w:p>
    <w:p>
      <w:pPr>
        <w:pStyle w:val="ListBullet"/>
      </w:pPr>
      <w:r>
        <w:t>Aceptar la instalación real y cerrar reglas comerciales antes de añadir nuevos módulos.</w:t>
      </w:r>
    </w:p>
    <w:p>
      <w:pPr>
        <w:pStyle w:val="ListBullet"/>
      </w:pPr>
      <w:r>
        <w:t>Integrar SUNAT/proveedor fiscal y conciliación/caja cuando el primer cliente lo requiera.</w:t>
      </w:r>
    </w:p>
    <w:p>
      <w:pPr>
        <w:pStyle w:val="ListBullet"/>
      </w:pPr>
      <w:r>
        <w:t>Implementar lotes/series, reservas, devolución parcial o costeo según el rubro elegido.</w:t>
      </w:r>
    </w:p>
    <w:p>
      <w:pPr>
        <w:pStyle w:val="ListBullet"/>
      </w:pPr>
      <w:r>
        <w:t>Activar y evaluar LLM real; preparar RAG documental si aporta valor al cliente.</w:t>
      </w:r>
    </w:p>
    <w:p>
      <w:pPr>
        <w:pStyle w:val="ListBullet"/>
      </w:pPr>
      <w:r>
        <w:t>Recopilar historial real, mejorar demanda/ML y guardar ejecuciones verificables.</w:t>
      </w:r>
    </w:p>
    <w:p>
      <w:r>
        <w:t>v0.1 del 08/10/2026 definió el proyecto. v0.2 del 09/10/2026 incorpora esta implementación, pruebas y manual. Cada nuevo cambio debe actualizar estado del requisito, pruebas, historial y procedimiento correspondiente.</w:t>
      </w:r>
    </w:p>
    <w:p>
      <w:r>
        <w:br w:type="page"/>
      </w:r>
    </w:p>
    <w:p>
      <w:pPr>
        <w:pStyle w:val="Heading1"/>
      </w:pPr>
      <w:r>
        <w:t>Capturas de la interfaz</w:t>
      </w:r>
    </w:p>
    <w:p>
      <w:r>
        <w:t>Interfaz real de la entrega v0.2, con datos de demostración. El menú cambia según permisos. Estas capturas sirven de referencia visual; no representan datos del negocio del cliente.</w:t>
      </w:r>
    </w:p>
    <w:p>
      <w:r>
        <w:drawing>
          <wp:inline xmlns:a="http://schemas.openxmlformats.org/drawingml/2006/main" xmlns:pic="http://schemas.openxmlformats.org/drawingml/2006/picture">
            <wp:extent cx="5943600" cy="5299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general en escritorio. El dashboard distingue ventas, cobros pendientes y alertas de stock. Datos de demostración.</w:t>
      </w:r>
    </w:p>
    <w:p>
      <w:pPr>
        <w:pStyle w:val="Heading2"/>
      </w:pPr>
      <w:r>
        <w:t>Consulta y control</w:t>
      </w:r>
    </w:p>
    <w:p>
      <w:r>
        <w:t>Las existencias se consultan por almacén. Los cambios quedan en Kardex y las ventas en su detalle. El manual acompaña los flujos con más capturas y casos de error.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Documento maestro v0.2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Sistema de Almacenamiento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200" w:before="160"/>
    </w:pPr>
    <w:rPr>
      <w:rFonts w:ascii="Arial" w:hAnsi="Arial"/>
      <w:b w:val="0"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Almacenamiento Inteligente Documento maestro</dc:title>
  <dc:subject>Requisitos, pantallas, permisos, arquitectura y estado de la versión 0.2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