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cdc_cover.png"/>
                    <pic:cNvPicPr/>
                  </pic:nvPicPr>
                  <pic:blipFill>
                    <a:blip r:embed="rId9"/>
                    <a:stretch>
                      <a:fillRect/>
                    </a:stretch>
                  </pic:blipFill>
                  <pic:spPr>
                    <a:xfrm>
                      <a:off x="0" y="0"/>
                      <a:ext cx="7560000" cy="10690955"/>
                    </a:xfrm>
                    <a:prstGeom prst="rect"/>
                  </pic:spPr>
                </pic:pic>
              </a:graphicData>
            </a:graphic>
          </wp:inline>
        </w:drawing>
      </w:r>
    </w:p>
    <w:p>
      <w:pPr>
        <w:sectPr>
          <w:footerReference w:type="default" r:id="rId11"/>
          <w:pgSz w:w="11906" w:h="16838"/>
          <w:pgMar w:top="0" w:right="0" w:bottom="0" w:left="0" w:header="720" w:footer="720" w:gutter="0"/>
          <w:cols w:space="720"/>
          <w:docGrid w:linePitch="360"/>
        </w:sectPr>
      </w:pPr>
    </w:p>
    <w:p>
      <w:pPr>
        <w:spacing w:before="360" w:after="40"/>
      </w:pPr>
      <w:r>
        <w:rPr>
          <w:rFonts w:ascii="Arial" w:hAnsi="Arial"/>
          <w:b/>
          <w:color w:val="4D4D4D"/>
          <w:sz w:val="16"/>
        </w:rPr>
        <w:t>DOCUMENT INFORMATION</w:t>
      </w:r>
    </w:p>
    <w:p>
      <w:pPr>
        <w:spacing w:after="40"/>
      </w:pPr>
      <w:r>
        <w:rPr>
          <w:rFonts w:ascii="Arial" w:hAnsi="Arial"/>
          <w:b/>
          <w:color w:val="4D4D4D"/>
          <w:sz w:val="19"/>
        </w:rPr>
        <w:t>Project:</w:t>
      </w:r>
      <w:r>
        <w:rPr>
          <w:rFonts w:ascii="Arial" w:hAnsi="Arial"/>
          <w:b w:val="0"/>
          <w:color w:val="4D4D4D"/>
          <w:sz w:val="19"/>
        </w:rPr>
        <w:t xml:space="preserve"> GreenGuard - Vision and MLOps Platform for Autonomous Chemical-Free Weeding Robots</w:t>
      </w:r>
    </w:p>
    <w:p>
      <w:pPr>
        <w:spacing w:after="40"/>
      </w:pPr>
      <w:r>
        <w:rPr>
          <w:rFonts w:ascii="Arial" w:hAnsi="Arial"/>
          <w:b/>
          <w:color w:val="4D4D4D"/>
          <w:sz w:val="19"/>
        </w:rPr>
        <w:t>Bloc 4 - Artificial Intelligence Solutions</w:t>
      </w:r>
    </w:p>
    <w:p>
      <w:pPr>
        <w:spacing w:after="40"/>
      </w:pPr>
      <w:r>
        <w:rPr>
          <w:rFonts w:ascii="Arial" w:hAnsi="Arial"/>
          <w:b/>
          <w:color w:val="4D4D4D"/>
          <w:sz w:val="19"/>
        </w:rPr>
        <w:t>Authors:</w:t>
      </w:r>
      <w:r>
        <w:rPr>
          <w:rFonts w:ascii="Arial" w:hAnsi="Arial"/>
          <w:b w:val="0"/>
          <w:color w:val="4D4D4D"/>
          <w:sz w:val="19"/>
        </w:rPr>
        <w:t xml:space="preserve"> Enzo Berreur, Elea Nizam, Jean-Baptiste Brun, Elisa Leclerc</w:t>
      </w:r>
    </w:p>
    <w:p>
      <w:pPr>
        <w:spacing w:after="40"/>
      </w:pPr>
      <w:r>
        <w:rPr>
          <w:rFonts w:ascii="Arial" w:hAnsi="Arial"/>
          <w:b/>
          <w:color w:val="4D4D4D"/>
          <w:sz w:val="19"/>
        </w:rPr>
        <w:t>Version:</w:t>
      </w:r>
      <w:r>
        <w:rPr>
          <w:rFonts w:ascii="Arial" w:hAnsi="Arial"/>
          <w:b w:val="0"/>
          <w:color w:val="4D4D4D"/>
          <w:sz w:val="19"/>
        </w:rPr>
        <w:t xml:space="preserve"> 1.0</w:t>
      </w:r>
    </w:p>
    <w:p>
      <w:pPr>
        <w:spacing w:before="360" w:after="40"/>
      </w:pPr>
      <w:r>
        <w:rPr>
          <w:rFonts w:ascii="Arial" w:hAnsi="Arial"/>
          <w:b/>
          <w:color w:val="4D4D4D"/>
          <w:sz w:val="16"/>
        </w:rPr>
        <w:t>SECTION 1</w:t>
      </w:r>
    </w:p>
    <w:p>
      <w:pPr>
        <w:spacing w:after="160"/>
        <w:pBdr>
          <w:bottom w:val="single" w:sz="6" w:color="B3B3B3"/>
        </w:pBdr>
      </w:pPr>
      <w:r>
        <w:rPr>
          <w:rFonts w:ascii="Georgia" w:hAnsi="Georgia"/>
          <w:b/>
          <w:color w:val="000000"/>
          <w:sz w:val="34"/>
        </w:rPr>
        <w:t>Context &amp; Business Problem</w:t>
      </w:r>
    </w:p>
    <w:p>
      <w:r>
        <w:rPr>
          <w:rFonts w:ascii="Arial" w:hAnsi="Arial"/>
          <w:b w:val="0"/>
          <w:color w:val="000000"/>
          <w:sz w:val="21"/>
        </w:rPr>
        <w:t xml:space="preserve">Chemical weed control is being phased out. Regulations such as France's Loi Labbe ban synthetic herbicides in public green spaces and private gardens, organic farming forbids them, and grounds-care faces a chronic labour shortage. The emerging answer is the </w:t>
      </w:r>
      <w:r>
        <w:rPr>
          <w:rFonts w:ascii="Arial" w:hAnsi="Arial"/>
          <w:b/>
          <w:color w:val="000000"/>
          <w:sz w:val="21"/>
        </w:rPr>
        <w:t>autonomous weeding robot</w:t>
      </w:r>
      <w:r>
        <w:rPr>
          <w:rFonts w:ascii="Arial" w:hAnsi="Arial"/>
          <w:b w:val="0"/>
          <w:color w:val="000000"/>
          <w:sz w:val="21"/>
        </w:rPr>
        <w:t>: a machine that drives over a field, lawn or roadside and removes weeds mechanically, with no chemicals.</w:t>
      </w:r>
    </w:p>
    <w:p>
      <w:r>
        <w:rPr>
          <w:rFonts w:ascii="Arial" w:hAnsi="Arial"/>
          <w:b w:val="0"/>
          <w:color w:val="000000"/>
          <w:sz w:val="21"/>
        </w:rPr>
        <w:t xml:space="preserve">Such a robot is only as good as its eyes. For every patch it passes it must decide, in real time, whether it sees a </w:t>
      </w:r>
      <w:r>
        <w:rPr>
          <w:rFonts w:ascii="Arial" w:hAnsi="Arial"/>
          <w:b/>
          <w:color w:val="000000"/>
          <w:sz w:val="21"/>
        </w:rPr>
        <w:t>weed</w:t>
      </w:r>
      <w:r>
        <w:rPr>
          <w:rFonts w:ascii="Arial" w:hAnsi="Arial"/>
          <w:b w:val="0"/>
          <w:color w:val="000000"/>
          <w:sz w:val="21"/>
        </w:rPr>
        <w:t xml:space="preserve"> (here, a dandelion, to be removed) or the </w:t>
      </w:r>
      <w:r>
        <w:rPr>
          <w:rFonts w:ascii="Arial" w:hAnsi="Arial"/>
          <w:b/>
          <w:color w:val="000000"/>
          <w:sz w:val="21"/>
        </w:rPr>
        <w:t>crop / turf</w:t>
      </w:r>
      <w:r>
        <w:rPr>
          <w:rFonts w:ascii="Arial" w:hAnsi="Arial"/>
          <w:b w:val="0"/>
          <w:color w:val="000000"/>
          <w:sz w:val="21"/>
        </w:rPr>
        <w:t xml:space="preserve"> (here, grass, to be left untouched). Cut the wrong thing and it damages the very lawn or crop it is meant to protect.</w:t>
      </w:r>
    </w:p>
    <w:p>
      <w:r>
        <w:rPr>
          <w:rFonts w:ascii="Arial" w:hAnsi="Arial"/>
          <w:b/>
          <w:color w:val="000000"/>
          <w:sz w:val="21"/>
        </w:rPr>
        <w:t>GreenGuard</w:t>
      </w:r>
      <w:r>
        <w:rPr>
          <w:rFonts w:ascii="Arial" w:hAnsi="Arial"/>
          <w:b w:val="0"/>
          <w:color w:val="000000"/>
          <w:sz w:val="21"/>
        </w:rPr>
        <w:t xml:space="preserve"> is that perception brain and the MLOps platform behind it: a binary image classifier (dandelion vs grass) served at the edge, wrapped in the industrialised pipeline that keeps it accurate as it meets new sites, seasons and lighting. This document specifies the solution as a production-grade MLOps system: not just a model, but a serving API, automated deployment, monitoring, and self-maintenance through drift-triggered retraining.</w:t>
      </w:r>
    </w:p>
    <w:p>
      <w:r>
        <w:rPr>
          <w:rFonts w:ascii="Arial" w:hAnsi="Arial"/>
          <w:b/>
          <w:color w:val="000000"/>
          <w:sz w:val="21"/>
        </w:rPr>
        <w:t>Why MLOps is not optional here.</w:t>
      </w:r>
      <w:r>
        <w:rPr>
          <w:rFonts w:ascii="Arial" w:hAnsi="Arial"/>
          <w:b w:val="0"/>
          <w:color w:val="000000"/>
          <w:sz w:val="21"/>
        </w:rPr>
        <w:t xml:space="preserve"> A fleet of robots works across many fields and seasons, so the images it sees drift continuously. Without automatic drift detection and retraining the model silently degrades, and a degraded model means a robot that uproots the crop or leaves weeds standing. Monitoring and retraining are therefore the reliability backbone of the product, not add-ons.</w:t>
      </w:r>
    </w:p>
    <w:p>
      <w:pPr>
        <w:spacing w:before="200"/>
      </w:pPr>
      <w:r>
        <w:rPr>
          <w:rFonts w:ascii="Georgia" w:hAnsi="Georgia"/>
          <w:b/>
          <w:sz w:val="25"/>
        </w:rPr>
        <w:t>Indicative business case</w:t>
      </w:r>
    </w:p>
    <w:p>
      <w:r>
        <w:rPr>
          <w:rFonts w:ascii="Arial" w:hAnsi="Arial"/>
          <w:b w:val="0"/>
          <w:color w:val="000000"/>
          <w:sz w:val="21"/>
        </w:rPr>
        <w:t>The driver is regulatory and economic, not a marginal optimisation:</w:t>
      </w:r>
    </w:p>
    <w:p>
      <w:pPr>
        <w:spacing w:after="80"/>
        <w:ind w:left="312"/>
      </w:pPr>
      <w:r>
        <w:rPr>
          <w:sz w:val="21"/>
        </w:rPr>
        <w:t xml:space="preserve">•  </w:t>
      </w:r>
      <w:r>
        <w:rPr>
          <w:rFonts w:ascii="Arial" w:hAnsi="Arial"/>
          <w:b/>
          <w:color w:val="000000"/>
          <w:sz w:val="21"/>
        </w:rPr>
        <w:t>Compliance:</w:t>
      </w:r>
      <w:r>
        <w:rPr>
          <w:rFonts w:ascii="Arial" w:hAnsi="Arial"/>
          <w:b w:val="0"/>
          <w:color w:val="000000"/>
          <w:sz w:val="21"/>
        </w:rPr>
        <w:t xml:space="preserve"> where herbicides are banned (for example France's Loi Labbe for public green spaces), chemical weeding is simply not an option; a chemical-free robot is the compliant one.</w:t>
      </w:r>
    </w:p>
    <w:p>
      <w:pPr>
        <w:spacing w:after="80"/>
        <w:ind w:left="312"/>
      </w:pPr>
      <w:r>
        <w:rPr>
          <w:sz w:val="21"/>
        </w:rPr>
        <w:t xml:space="preserve">•  </w:t>
      </w:r>
      <w:r>
        <w:rPr>
          <w:rFonts w:ascii="Arial" w:hAnsi="Arial"/>
          <w:b/>
          <w:color w:val="000000"/>
          <w:sz w:val="21"/>
        </w:rPr>
        <w:t>Labour:</w:t>
      </w:r>
      <w:r>
        <w:rPr>
          <w:rFonts w:ascii="Arial" w:hAnsi="Arial"/>
          <w:b w:val="0"/>
          <w:color w:val="000000"/>
          <w:sz w:val="21"/>
        </w:rPr>
        <w:t xml:space="preserve"> autonomous operation removes the recurring cost of manual weeding, the main expense in pesticide-free grounds care.</w:t>
      </w:r>
    </w:p>
    <w:p>
      <w:pPr>
        <w:spacing w:after="80"/>
        <w:ind w:left="312"/>
      </w:pPr>
      <w:r>
        <w:rPr>
          <w:sz w:val="21"/>
        </w:rPr>
        <w:t xml:space="preserve">•  </w:t>
      </w:r>
      <w:r>
        <w:rPr>
          <w:rFonts w:ascii="Arial" w:hAnsi="Arial"/>
          <w:b/>
          <w:color w:val="000000"/>
          <w:sz w:val="21"/>
        </w:rPr>
        <w:t>Asset protection:</w:t>
      </w:r>
      <w:r>
        <w:rPr>
          <w:rFonts w:ascii="Arial" w:hAnsi="Arial"/>
          <w:b w:val="0"/>
          <w:color w:val="000000"/>
          <w:sz w:val="21"/>
        </w:rPr>
        <w:t xml:space="preserve"> accurate perception avoids destroying the crop or turf the robot exists to protect.</w:t>
      </w:r>
    </w:p>
    <w:p>
      <w:r>
        <w:rPr>
          <w:rFonts w:ascii="Arial" w:hAnsi="Arial"/>
          <w:b w:val="0"/>
          <w:color w:val="000000"/>
          <w:sz w:val="21"/>
        </w:rPr>
        <w:t>Exact figures are deployment-specific. The point for this specification is that the model's accuracy, and its sustained accuracy over time, translate directly into chemicals avoided, labour saved and crop protected, which is why the MLOps loop (monitoring plus retraining) is core to the value rather than peripheral.</w:t>
      </w:r>
    </w:p>
    <w:p>
      <w:pPr>
        <w:spacing w:before="360" w:after="40"/>
      </w:pPr>
      <w:r>
        <w:rPr>
          <w:rFonts w:ascii="Arial" w:hAnsi="Arial"/>
          <w:b/>
          <w:color w:val="4D4D4D"/>
          <w:sz w:val="16"/>
        </w:rPr>
        <w:t>SECTION 2</w:t>
      </w:r>
    </w:p>
    <w:p>
      <w:pPr>
        <w:spacing w:after="160"/>
        <w:pBdr>
          <w:bottom w:val="single" w:sz="6" w:color="B3B3B3"/>
        </w:pBdr>
      </w:pPr>
      <w:r>
        <w:rPr>
          <w:rFonts w:ascii="Georgia" w:hAnsi="Georgia"/>
          <w:b/>
          <w:color w:val="000000"/>
          <w:sz w:val="34"/>
        </w:rPr>
        <w:t>Objectives &amp; Success Criteria</w:t>
      </w:r>
    </w:p>
    <w:tbl>
      <w:tblPr>
        <w:tblW w:type="auto" w:w="0"/>
        <w:tblLayout w:type="autofit"/>
        <w:tblLook w:firstColumn="1" w:firstRow="1" w:lastColumn="0" w:lastRow="0" w:noHBand="0" w:noVBand="1" w:val="04A0"/>
      </w:tblPr>
      <w:tblGrid>
        <w:gridCol w:w="4592"/>
        <w:gridCol w:w="4592"/>
      </w:tblGrid>
      <w:tr>
        <w:tc>
          <w:tcPr>
            <w:tcW w:type="dxa" w:w="4592"/>
            <w:tcBorders>
              <w:bottom w:val="single" w:sz="8" w:color="000000"/>
            </w:tcBorders>
          </w:tcPr>
          <w:p>
            <w:pPr>
              <w:spacing w:after="60"/>
            </w:pPr>
            <w:r>
              <w:rPr>
                <w:rFonts w:ascii="Arial" w:hAnsi="Arial"/>
                <w:b/>
                <w:color w:val="000000"/>
                <w:sz w:val="19"/>
              </w:rPr>
              <w:t>Objective</w:t>
            </w:r>
          </w:p>
        </w:tc>
        <w:tc>
          <w:tcPr>
            <w:tcW w:type="dxa" w:w="4592"/>
            <w:tcBorders>
              <w:bottom w:val="single" w:sz="8" w:color="000000"/>
            </w:tcBorders>
          </w:tcPr>
          <w:p>
            <w:pPr>
              <w:spacing w:after="60"/>
            </w:pPr>
            <w:r>
              <w:rPr>
                <w:rFonts w:ascii="Arial" w:hAnsi="Arial"/>
                <w:b/>
                <w:color w:val="000000"/>
                <w:sz w:val="19"/>
              </w:rPr>
              <w:t>Success criterion (KPI)</w:t>
            </w:r>
          </w:p>
        </w:tc>
      </w:tr>
      <w:tr>
        <w:tc>
          <w:tcPr>
            <w:tcW w:type="dxa" w:w="4592"/>
            <w:tcBorders>
              <w:bottom w:val="single" w:sz="4" w:color="D9D9D9"/>
            </w:tcBorders>
          </w:tcPr>
          <w:p>
            <w:pPr>
              <w:spacing w:after="60"/>
            </w:pPr>
            <w:r>
              <w:rPr>
                <w:rFonts w:ascii="Arial" w:hAnsi="Arial"/>
                <w:b w:val="0"/>
                <w:color w:val="000000"/>
                <w:sz w:val="19"/>
              </w:rPr>
              <w:t>Accurate classification</w:t>
            </w:r>
          </w:p>
        </w:tc>
        <w:tc>
          <w:tcPr>
            <w:tcW w:type="dxa" w:w="4592"/>
            <w:tcBorders>
              <w:bottom w:val="single" w:sz="4" w:color="D9D9D9"/>
            </w:tcBorders>
          </w:tcPr>
          <w:p>
            <w:pPr>
              <w:spacing w:after="60"/>
            </w:pPr>
            <w:r>
              <w:rPr>
                <w:rFonts w:ascii="Arial" w:hAnsi="Arial"/>
                <w:b w:val="0"/>
                <w:color w:val="000000"/>
                <w:sz w:val="19"/>
              </w:rPr>
              <w:t>Macro-F1 ≥ 0.85 on the validation set</w:t>
            </w:r>
          </w:p>
        </w:tc>
      </w:tr>
      <w:tr>
        <w:tc>
          <w:tcPr>
            <w:tcW w:type="dxa" w:w="4592"/>
            <w:tcBorders>
              <w:bottom w:val="single" w:sz="4" w:color="D9D9D9"/>
            </w:tcBorders>
          </w:tcPr>
          <w:p>
            <w:pPr>
              <w:spacing w:after="60"/>
            </w:pPr>
            <w:r>
              <w:rPr>
                <w:rFonts w:ascii="Arial" w:hAnsi="Arial"/>
                <w:b w:val="0"/>
                <w:color w:val="000000"/>
                <w:sz w:val="19"/>
              </w:rPr>
              <w:t>Responsive serving</w:t>
            </w:r>
          </w:p>
        </w:tc>
        <w:tc>
          <w:tcPr>
            <w:tcW w:type="dxa" w:w="4592"/>
            <w:tcBorders>
              <w:bottom w:val="single" w:sz="4" w:color="D9D9D9"/>
            </w:tcBorders>
          </w:tcPr>
          <w:p>
            <w:pPr>
              <w:spacing w:after="60"/>
            </w:pPr>
            <w:r>
              <w:rPr>
                <w:rFonts w:ascii="Arial" w:hAnsi="Arial"/>
                <w:b w:val="0"/>
                <w:color w:val="000000"/>
                <w:sz w:val="19"/>
              </w:rPr>
              <w:t>p90 prediction latency &lt; 500 ms (CPU)</w:t>
            </w:r>
          </w:p>
        </w:tc>
      </w:tr>
      <w:tr>
        <w:tc>
          <w:tcPr>
            <w:tcW w:type="dxa" w:w="4592"/>
            <w:tcBorders>
              <w:bottom w:val="single" w:sz="4" w:color="D9D9D9"/>
            </w:tcBorders>
          </w:tcPr>
          <w:p>
            <w:pPr>
              <w:spacing w:after="60"/>
            </w:pPr>
            <w:r>
              <w:rPr>
                <w:rFonts w:ascii="Arial" w:hAnsi="Arial"/>
                <w:b w:val="0"/>
                <w:color w:val="000000"/>
                <w:sz w:val="19"/>
              </w:rPr>
              <w:t>Reliable availability</w:t>
            </w:r>
          </w:p>
        </w:tc>
        <w:tc>
          <w:tcPr>
            <w:tcW w:type="dxa" w:w="4592"/>
            <w:tcBorders>
              <w:bottom w:val="single" w:sz="4" w:color="D9D9D9"/>
            </w:tcBorders>
          </w:tcPr>
          <w:p>
            <w:pPr>
              <w:spacing w:after="60"/>
            </w:pPr>
            <w:r>
              <w:rPr>
                <w:rFonts w:ascii="Arial" w:hAnsi="Arial"/>
                <w:b w:val="0"/>
                <w:color w:val="000000"/>
                <w:sz w:val="19"/>
              </w:rPr>
              <w:t>API health endpoint green; graceful startup without a model</w:t>
            </w:r>
          </w:p>
        </w:tc>
      </w:tr>
      <w:tr>
        <w:tc>
          <w:tcPr>
            <w:tcW w:type="dxa" w:w="4592"/>
            <w:tcBorders>
              <w:bottom w:val="single" w:sz="4" w:color="D9D9D9"/>
            </w:tcBorders>
          </w:tcPr>
          <w:p>
            <w:pPr>
              <w:spacing w:after="60"/>
            </w:pPr>
            <w:r>
              <w:rPr>
                <w:rFonts w:ascii="Arial" w:hAnsi="Arial"/>
                <w:b w:val="0"/>
                <w:color w:val="000000"/>
                <w:sz w:val="19"/>
              </w:rPr>
              <w:t>Reproducible ML</w:t>
            </w:r>
          </w:p>
        </w:tc>
        <w:tc>
          <w:tcPr>
            <w:tcW w:type="dxa" w:w="4592"/>
            <w:tcBorders>
              <w:bottom w:val="single" w:sz="4" w:color="D9D9D9"/>
            </w:tcBorders>
          </w:tcPr>
          <w:p>
            <w:pPr>
              <w:spacing w:after="60"/>
            </w:pPr>
            <w:r>
              <w:rPr>
                <w:rFonts w:ascii="Arial" w:hAnsi="Arial"/>
                <w:b w:val="0"/>
                <w:color w:val="000000"/>
                <w:sz w:val="19"/>
              </w:rPr>
              <w:t>Every training run tracked (params, metrics, model) in MLflow</w:t>
            </w:r>
          </w:p>
        </w:tc>
      </w:tr>
      <w:tr>
        <w:tc>
          <w:tcPr>
            <w:tcW w:type="dxa" w:w="4592"/>
            <w:tcBorders>
              <w:bottom w:val="single" w:sz="4" w:color="D9D9D9"/>
            </w:tcBorders>
          </w:tcPr>
          <w:p>
            <w:pPr>
              <w:spacing w:after="60"/>
            </w:pPr>
            <w:r>
              <w:rPr>
                <w:rFonts w:ascii="Arial" w:hAnsi="Arial"/>
                <w:b w:val="0"/>
                <w:color w:val="000000"/>
                <w:sz w:val="19"/>
              </w:rPr>
              <w:t>Self-maintaining</w:t>
            </w:r>
          </w:p>
        </w:tc>
        <w:tc>
          <w:tcPr>
            <w:tcW w:type="dxa" w:w="4592"/>
            <w:tcBorders>
              <w:bottom w:val="single" w:sz="4" w:color="D9D9D9"/>
            </w:tcBorders>
          </w:tcPr>
          <w:p>
            <w:pPr>
              <w:spacing w:after="60"/>
            </w:pPr>
            <w:r>
              <w:rPr>
                <w:rFonts w:ascii="Arial" w:hAnsi="Arial"/>
                <w:b w:val="0"/>
                <w:color w:val="000000"/>
                <w:sz w:val="19"/>
              </w:rPr>
              <w:t>Drift detected automatically; retraining triggered on drift or monthly</w:t>
            </w:r>
          </w:p>
        </w:tc>
      </w:tr>
      <w:tr>
        <w:tc>
          <w:tcPr>
            <w:tcW w:type="dxa" w:w="4592"/>
            <w:tcBorders>
              <w:bottom w:val="single" w:sz="4" w:color="D9D9D9"/>
            </w:tcBorders>
          </w:tcPr>
          <w:p>
            <w:pPr>
              <w:spacing w:after="60"/>
            </w:pPr>
            <w:r>
              <w:rPr>
                <w:rFonts w:ascii="Arial" w:hAnsi="Arial"/>
                <w:b w:val="0"/>
                <w:color w:val="000000"/>
                <w:sz w:val="19"/>
              </w:rPr>
              <w:t>Observable</w:t>
            </w:r>
          </w:p>
        </w:tc>
        <w:tc>
          <w:tcPr>
            <w:tcW w:type="dxa" w:w="4592"/>
            <w:tcBorders>
              <w:bottom w:val="single" w:sz="4" w:color="D9D9D9"/>
            </w:tcBorders>
          </w:tcPr>
          <w:p>
            <w:pPr>
              <w:spacing w:after="60"/>
            </w:pPr>
            <w:r>
              <w:rPr>
                <w:rFonts w:ascii="Arial" w:hAnsi="Arial"/>
                <w:b w:val="0"/>
                <w:color w:val="000000"/>
                <w:sz w:val="19"/>
              </w:rPr>
              <w:t>Live dashboards for throughput, latency and data drift</w:t>
            </w:r>
          </w:p>
        </w:tc>
      </w:tr>
    </w:tbl>
    <w:p>
      <w:pPr>
        <w:spacing w:after="40"/>
      </w:pPr>
    </w:p>
    <w:p>
      <w:pPr>
        <w:spacing w:before="200"/>
      </w:pPr>
      <w:r>
        <w:rPr>
          <w:rFonts w:ascii="Georgia" w:hAnsi="Georgia"/>
          <w:b/>
          <w:sz w:val="25"/>
        </w:rPr>
        <w:t>From business value to monitored metrics</w:t>
      </w:r>
    </w:p>
    <w:p>
      <w:r>
        <w:rPr>
          <w:rFonts w:ascii="Arial" w:hAnsi="Arial"/>
          <w:b w:val="0"/>
          <w:color w:val="000000"/>
          <w:sz w:val="21"/>
        </w:rPr>
        <w:t>Monitoring is wired to business outcomes, not just technical health:</w:t>
      </w:r>
    </w:p>
    <w:tbl>
      <w:tblPr>
        <w:tblW w:type="auto" w:w="0"/>
        <w:tblLayout w:type="autofit"/>
        <w:tblLook w:firstColumn="1" w:firstRow="1" w:lastColumn="0" w:lastRow="0" w:noHBand="0" w:noVBand="1" w:val="04A0"/>
      </w:tblPr>
      <w:tblGrid>
        <w:gridCol w:w="3061"/>
        <w:gridCol w:w="3061"/>
        <w:gridCol w:w="3061"/>
      </w:tblGrid>
      <w:tr>
        <w:tc>
          <w:tcPr>
            <w:tcW w:type="dxa" w:w="3061"/>
            <w:tcBorders>
              <w:bottom w:val="single" w:sz="8" w:color="000000"/>
            </w:tcBorders>
          </w:tcPr>
          <w:p>
            <w:pPr>
              <w:spacing w:after="60"/>
            </w:pPr>
            <w:r>
              <w:rPr>
                <w:rFonts w:ascii="Arial" w:hAnsi="Arial"/>
                <w:b/>
                <w:color w:val="000000"/>
                <w:sz w:val="19"/>
              </w:rPr>
              <w:t>Business outcome</w:t>
            </w:r>
          </w:p>
        </w:tc>
        <w:tc>
          <w:tcPr>
            <w:tcW w:type="dxa" w:w="3061"/>
            <w:tcBorders>
              <w:bottom w:val="single" w:sz="8" w:color="000000"/>
            </w:tcBorders>
          </w:tcPr>
          <w:p>
            <w:pPr>
              <w:spacing w:after="60"/>
            </w:pPr>
            <w:r>
              <w:rPr>
                <w:rFonts w:ascii="Arial" w:hAnsi="Arial"/>
                <w:b/>
                <w:color w:val="000000"/>
                <w:sz w:val="19"/>
              </w:rPr>
              <w:t>ML metric</w:t>
            </w:r>
          </w:p>
        </w:tc>
        <w:tc>
          <w:tcPr>
            <w:tcW w:type="dxa" w:w="3061"/>
            <w:tcBorders>
              <w:bottom w:val="single" w:sz="8" w:color="000000"/>
            </w:tcBorders>
          </w:tcPr>
          <w:p>
            <w:pPr>
              <w:spacing w:after="60"/>
            </w:pPr>
            <w:r>
              <w:rPr>
                <w:rFonts w:ascii="Arial" w:hAnsi="Arial"/>
                <w:b/>
                <w:color w:val="000000"/>
                <w:sz w:val="19"/>
              </w:rPr>
              <w:t>Live monitoring signal</w:t>
            </w:r>
          </w:p>
        </w:tc>
      </w:tr>
      <w:tr>
        <w:tc>
          <w:tcPr>
            <w:tcW w:type="dxa" w:w="3061"/>
            <w:tcBorders>
              <w:bottom w:val="single" w:sz="4" w:color="D9D9D9"/>
            </w:tcBorders>
          </w:tcPr>
          <w:p>
            <w:pPr>
              <w:spacing w:after="60"/>
            </w:pPr>
            <w:r>
              <w:rPr>
                <w:rFonts w:ascii="Arial" w:hAnsi="Arial"/>
                <w:b w:val="0"/>
                <w:color w:val="000000"/>
                <w:sz w:val="19"/>
              </w:rPr>
              <w:t>Crop / turf safety (never cut the crop)</w:t>
            </w:r>
          </w:p>
        </w:tc>
        <w:tc>
          <w:tcPr>
            <w:tcW w:type="dxa" w:w="3061"/>
            <w:tcBorders>
              <w:bottom w:val="single" w:sz="4" w:color="D9D9D9"/>
            </w:tcBorders>
          </w:tcPr>
          <w:p>
            <w:pPr>
              <w:spacing w:after="60"/>
            </w:pPr>
            <w:r>
              <w:rPr>
                <w:rFonts w:ascii="Arial" w:hAnsi="Arial"/>
                <w:b w:val="0"/>
                <w:color w:val="000000"/>
                <w:sz w:val="19"/>
              </w:rPr>
              <w:t>per-class precision and recall, confusion matrix</w:t>
            </w:r>
          </w:p>
        </w:tc>
        <w:tc>
          <w:tcPr>
            <w:tcW w:type="dxa" w:w="3061"/>
            <w:tcBorders>
              <w:bottom w:val="single" w:sz="4" w:color="D9D9D9"/>
            </w:tcBorders>
          </w:tcPr>
          <w:p>
            <w:pPr>
              <w:spacing w:after="60"/>
            </w:pPr>
            <w:r>
              <w:rPr>
                <w:rFonts w:ascii="Arial" w:hAnsi="Arial"/>
                <w:b w:val="0"/>
                <w:color w:val="000000"/>
                <w:sz w:val="19"/>
              </w:rPr>
              <w:t>prediction mix, drift (PSI), retrain events</w:t>
            </w:r>
          </w:p>
        </w:tc>
      </w:tr>
      <w:tr>
        <w:tc>
          <w:tcPr>
            <w:tcW w:type="dxa" w:w="3061"/>
            <w:tcBorders>
              <w:bottom w:val="single" w:sz="4" w:color="D9D9D9"/>
            </w:tcBorders>
          </w:tcPr>
          <w:p>
            <w:pPr>
              <w:spacing w:after="60"/>
            </w:pPr>
            <w:r>
              <w:rPr>
                <w:rFonts w:ascii="Arial" w:hAnsi="Arial"/>
                <w:b w:val="0"/>
                <w:color w:val="000000"/>
                <w:sz w:val="19"/>
              </w:rPr>
              <w:t>Effective weeding (do not miss weeds)</w:t>
            </w:r>
          </w:p>
        </w:tc>
        <w:tc>
          <w:tcPr>
            <w:tcW w:type="dxa" w:w="3061"/>
            <w:tcBorders>
              <w:bottom w:val="single" w:sz="4" w:color="D9D9D9"/>
            </w:tcBorders>
          </w:tcPr>
          <w:p>
            <w:pPr>
              <w:spacing w:after="60"/>
            </w:pPr>
            <w:r>
              <w:rPr>
                <w:rFonts w:ascii="Arial" w:hAnsi="Arial"/>
                <w:b w:val="0"/>
                <w:color w:val="000000"/>
                <w:sz w:val="19"/>
              </w:rPr>
              <w:t>macro-F1, recall on the weed class</w:t>
            </w:r>
          </w:p>
        </w:tc>
        <w:tc>
          <w:tcPr>
            <w:tcW w:type="dxa" w:w="3061"/>
            <w:tcBorders>
              <w:bottom w:val="single" w:sz="4" w:color="D9D9D9"/>
            </w:tcBorders>
          </w:tcPr>
          <w:p>
            <w:pPr>
              <w:spacing w:after="60"/>
            </w:pPr>
            <w:r>
              <w:rPr>
                <w:rFonts w:ascii="Arial" w:hAnsi="Arial"/>
                <w:b w:val="0"/>
                <w:color w:val="000000"/>
                <w:sz w:val="19"/>
              </w:rPr>
              <w:t>release-gate macro-F1; drift flag in Grafana</w:t>
            </w:r>
          </w:p>
        </w:tc>
      </w:tr>
      <w:tr>
        <w:tc>
          <w:tcPr>
            <w:tcW w:type="dxa" w:w="3061"/>
            <w:tcBorders>
              <w:bottom w:val="single" w:sz="4" w:color="D9D9D9"/>
            </w:tcBorders>
          </w:tcPr>
          <w:p>
            <w:pPr>
              <w:spacing w:after="60"/>
            </w:pPr>
            <w:r>
              <w:rPr>
                <w:rFonts w:ascii="Arial" w:hAnsi="Arial"/>
                <w:b w:val="0"/>
                <w:color w:val="000000"/>
                <w:sz w:val="19"/>
              </w:rPr>
              <w:t>Real-time operation on a moving robot</w:t>
            </w:r>
          </w:p>
        </w:tc>
        <w:tc>
          <w:tcPr>
            <w:tcW w:type="dxa" w:w="3061"/>
            <w:tcBorders>
              <w:bottom w:val="single" w:sz="4" w:color="D9D9D9"/>
            </w:tcBorders>
          </w:tcPr>
          <w:p>
            <w:pPr>
              <w:spacing w:after="60"/>
            </w:pPr>
            <w:r>
              <w:rPr>
                <w:rFonts w:ascii="Arial" w:hAnsi="Arial"/>
                <w:b w:val="0"/>
                <w:color w:val="000000"/>
                <w:sz w:val="19"/>
              </w:rPr>
              <w:t>inference latency</w:t>
            </w:r>
          </w:p>
        </w:tc>
        <w:tc>
          <w:tcPr>
            <w:tcW w:type="dxa" w:w="3061"/>
            <w:tcBorders>
              <w:bottom w:val="single" w:sz="4" w:color="D9D9D9"/>
            </w:tcBorders>
          </w:tcPr>
          <w:p>
            <w:pPr>
              <w:spacing w:after="60"/>
            </w:pPr>
            <w:r>
              <w:rPr>
                <w:rFonts w:ascii="Arial" w:hAnsi="Arial"/>
                <w:b w:val="0"/>
                <w:color w:val="000000"/>
                <w:sz w:val="19"/>
              </w:rPr>
              <w:t>p90 prediction_latency_seconds (Prometheus)</w:t>
            </w:r>
          </w:p>
        </w:tc>
      </w:tr>
      <w:tr>
        <w:tc>
          <w:tcPr>
            <w:tcW w:type="dxa" w:w="3061"/>
            <w:tcBorders>
              <w:bottom w:val="single" w:sz="4" w:color="D9D9D9"/>
            </w:tcBorders>
          </w:tcPr>
          <w:p>
            <w:pPr>
              <w:spacing w:after="60"/>
            </w:pPr>
            <w:r>
              <w:rPr>
                <w:rFonts w:ascii="Arial" w:hAnsi="Arial"/>
                <w:b w:val="0"/>
                <w:color w:val="000000"/>
                <w:sz w:val="19"/>
              </w:rPr>
              <w:t>Sustained accuracy across sites and seasons</w:t>
            </w:r>
          </w:p>
        </w:tc>
        <w:tc>
          <w:tcPr>
            <w:tcW w:type="dxa" w:w="3061"/>
            <w:tcBorders>
              <w:bottom w:val="single" w:sz="4" w:color="D9D9D9"/>
            </w:tcBorders>
          </w:tcPr>
          <w:p>
            <w:pPr>
              <w:spacing w:after="60"/>
            </w:pPr>
            <w:r>
              <w:rPr>
                <w:rFonts w:ascii="Arial" w:hAnsi="Arial"/>
                <w:b w:val="0"/>
                <w:color w:val="000000"/>
                <w:sz w:val="19"/>
              </w:rPr>
              <w:t>drift magnitude, retrain cadence</w:t>
            </w:r>
          </w:p>
        </w:tc>
        <w:tc>
          <w:tcPr>
            <w:tcW w:type="dxa" w:w="3061"/>
            <w:tcBorders>
              <w:bottom w:val="single" w:sz="4" w:color="D9D9D9"/>
            </w:tcBorders>
          </w:tcPr>
          <w:p>
            <w:pPr>
              <w:spacing w:after="60"/>
            </w:pPr>
            <w:r>
              <w:rPr>
                <w:rFonts w:ascii="Arial" w:hAnsi="Arial"/>
                <w:b w:val="0"/>
                <w:color w:val="000000"/>
                <w:sz w:val="19"/>
              </w:rPr>
              <w:t>dataset_drift flag, drift_share, retrain runs</w:t>
            </w:r>
          </w:p>
        </w:tc>
      </w:tr>
      <w:tr>
        <w:tc>
          <w:tcPr>
            <w:tcW w:type="dxa" w:w="3061"/>
            <w:tcBorders>
              <w:bottom w:val="single" w:sz="4" w:color="D9D9D9"/>
            </w:tcBorders>
          </w:tcPr>
          <w:p>
            <w:pPr>
              <w:spacing w:after="60"/>
            </w:pPr>
            <w:r>
              <w:rPr>
                <w:rFonts w:ascii="Arial" w:hAnsi="Arial"/>
                <w:b w:val="0"/>
                <w:color w:val="000000"/>
                <w:sz w:val="19"/>
              </w:rPr>
              <w:t>Low maintenance cost</w:t>
            </w:r>
          </w:p>
        </w:tc>
        <w:tc>
          <w:tcPr>
            <w:tcW w:type="dxa" w:w="3061"/>
            <w:tcBorders>
              <w:bottom w:val="single" w:sz="4" w:color="D9D9D9"/>
            </w:tcBorders>
          </w:tcPr>
          <w:p>
            <w:pPr>
              <w:spacing w:after="60"/>
            </w:pPr>
            <w:r>
              <w:rPr>
                <w:rFonts w:ascii="Arial" w:hAnsi="Arial"/>
                <w:b w:val="0"/>
                <w:color w:val="000000"/>
                <w:sz w:val="19"/>
              </w:rPr>
              <w:t>automation coverage</w:t>
            </w:r>
          </w:p>
        </w:tc>
        <w:tc>
          <w:tcPr>
            <w:tcW w:type="dxa" w:w="3061"/>
            <w:tcBorders>
              <w:bottom w:val="single" w:sz="4" w:color="D9D9D9"/>
            </w:tcBorders>
          </w:tcPr>
          <w:p>
            <w:pPr>
              <w:spacing w:after="60"/>
            </w:pPr>
            <w:r>
              <w:rPr>
                <w:rFonts w:ascii="Arial" w:hAnsi="Arial"/>
                <w:b w:val="0"/>
                <w:color w:val="000000"/>
                <w:sz w:val="19"/>
              </w:rPr>
              <w:t>green CI/CD, automated drift-triggered retraining</w:t>
            </w:r>
          </w:p>
        </w:tc>
      </w:tr>
      <w:tr>
        <w:tc>
          <w:tcPr>
            <w:tcW w:type="dxa" w:w="3061"/>
            <w:tcBorders>
              <w:bottom w:val="single" w:sz="4" w:color="D9D9D9"/>
            </w:tcBorders>
          </w:tcPr>
          <w:p>
            <w:pPr>
              <w:spacing w:after="60"/>
            </w:pPr>
            <w:r>
              <w:rPr>
                <w:rFonts w:ascii="Arial" w:hAnsi="Arial"/>
                <w:b w:val="0"/>
                <w:color w:val="000000"/>
                <w:sz w:val="19"/>
              </w:rPr>
              <w:t>Herbicide avoided and uptime</w:t>
            </w:r>
          </w:p>
        </w:tc>
        <w:tc>
          <w:tcPr>
            <w:tcW w:type="dxa" w:w="3061"/>
            <w:tcBorders>
              <w:bottom w:val="single" w:sz="4" w:color="D9D9D9"/>
            </w:tcBorders>
          </w:tcPr>
          <w:p>
            <w:pPr>
              <w:spacing w:after="60"/>
            </w:pPr>
            <w:r>
              <w:rPr>
                <w:rFonts w:ascii="Arial" w:hAnsi="Arial"/>
                <w:b w:val="0"/>
                <w:color w:val="000000"/>
                <w:sz w:val="19"/>
              </w:rPr>
              <w:t>model availability</w:t>
            </w:r>
          </w:p>
        </w:tc>
        <w:tc>
          <w:tcPr>
            <w:tcW w:type="dxa" w:w="3061"/>
            <w:tcBorders>
              <w:bottom w:val="single" w:sz="4" w:color="D9D9D9"/>
            </w:tcBorders>
          </w:tcPr>
          <w:p>
            <w:pPr>
              <w:spacing w:after="60"/>
            </w:pPr>
            <w:r>
              <w:rPr>
                <w:rFonts w:ascii="Arial" w:hAnsi="Arial"/>
                <w:b w:val="0"/>
                <w:color w:val="000000"/>
                <w:sz w:val="19"/>
              </w:rPr>
              <w:t>predictions_total, /health readiness</w:t>
            </w:r>
          </w:p>
        </w:tc>
      </w:tr>
    </w:tbl>
    <w:p>
      <w:pPr>
        <w:spacing w:after="40"/>
      </w:pPr>
    </w:p>
    <w:p>
      <w:pPr>
        <w:spacing w:before="360" w:after="40"/>
      </w:pPr>
      <w:r>
        <w:rPr>
          <w:rFonts w:ascii="Arial" w:hAnsi="Arial"/>
          <w:b/>
          <w:color w:val="4D4D4D"/>
          <w:sz w:val="16"/>
        </w:rPr>
        <w:t>SECTION 3</w:t>
      </w:r>
    </w:p>
    <w:p>
      <w:pPr>
        <w:spacing w:after="160"/>
        <w:pBdr>
          <w:bottom w:val="single" w:sz="6" w:color="B3B3B3"/>
        </w:pBdr>
      </w:pPr>
      <w:r>
        <w:rPr>
          <w:rFonts w:ascii="Georgia" w:hAnsi="Georgia"/>
          <w:b/>
          <w:color w:val="000000"/>
          <w:sz w:val="34"/>
        </w:rPr>
        <w:t>Scope</w:t>
      </w:r>
    </w:p>
    <w:p>
      <w:r>
        <w:rPr>
          <w:rFonts w:ascii="Arial" w:hAnsi="Arial"/>
          <w:b/>
          <w:color w:val="000000"/>
          <w:sz w:val="21"/>
        </w:rPr>
        <w:t>In scope:</w:t>
      </w:r>
      <w:r>
        <w:rPr>
          <w:rFonts w:ascii="Arial" w:hAnsi="Arial"/>
          <w:b w:val="0"/>
          <w:color w:val="000000"/>
          <w:sz w:val="21"/>
        </w:rPr>
        <w:t xml:space="preserve"> the ML model (training + evaluation), a REST serving API, a demo web UI, orchestration of data and retraining pipelines, CI/CD automation, production monitoring (operational + drift), and infrastructure-as-code for a Kubernetes deployment.</w:t>
      </w:r>
    </w:p>
    <w:p>
      <w:r>
        <w:rPr>
          <w:rFonts w:ascii="Arial" w:hAnsi="Arial"/>
          <w:b/>
          <w:color w:val="000000"/>
          <w:sz w:val="21"/>
        </w:rPr>
        <w:t>Out of scope:</w:t>
      </w:r>
      <w:r>
        <w:rPr>
          <w:rFonts w:ascii="Arial" w:hAnsi="Arial"/>
          <w:b w:val="0"/>
          <w:color w:val="000000"/>
          <w:sz w:val="21"/>
        </w:rPr>
        <w:t xml:space="preserve"> the robot hardware and its mechanical weeding actuator, the on-robot edge-runtime integration, and a multi-species weed taxonomy (future work). The model is intentionally binary (weed vs crop) as the proof-of-concept perception core.</w:t>
      </w:r>
    </w:p>
    <w:p>
      <w:pPr>
        <w:spacing w:before="360" w:after="40"/>
      </w:pPr>
      <w:r>
        <w:rPr>
          <w:rFonts w:ascii="Arial" w:hAnsi="Arial"/>
          <w:b/>
          <w:color w:val="4D4D4D"/>
          <w:sz w:val="16"/>
        </w:rPr>
        <w:t>SECTION 4</w:t>
      </w:r>
    </w:p>
    <w:p>
      <w:pPr>
        <w:spacing w:after="160"/>
        <w:pBdr>
          <w:bottom w:val="single" w:sz="6" w:color="B3B3B3"/>
        </w:pBdr>
      </w:pPr>
      <w:r>
        <w:rPr>
          <w:rFonts w:ascii="Georgia" w:hAnsi="Georgia"/>
          <w:b/>
          <w:color w:val="000000"/>
          <w:sz w:val="34"/>
        </w:rPr>
        <w:t>Stakeholders</w:t>
      </w:r>
    </w:p>
    <w:tbl>
      <w:tblPr>
        <w:tblW w:type="auto" w:w="0"/>
        <w:tblLayout w:type="autofit"/>
        <w:tblLook w:firstColumn="1" w:firstRow="1" w:lastColumn="0" w:lastRow="0" w:noHBand="0" w:noVBand="1" w:val="04A0"/>
      </w:tblPr>
      <w:tblGrid>
        <w:gridCol w:w="4592"/>
        <w:gridCol w:w="4592"/>
      </w:tblGrid>
      <w:tr>
        <w:tc>
          <w:tcPr>
            <w:tcW w:type="dxa" w:w="4592"/>
            <w:tcBorders>
              <w:bottom w:val="single" w:sz="8" w:color="000000"/>
            </w:tcBorders>
          </w:tcPr>
          <w:p>
            <w:pPr>
              <w:spacing w:after="60"/>
            </w:pPr>
            <w:r>
              <w:rPr>
                <w:rFonts w:ascii="Arial" w:hAnsi="Arial"/>
                <w:b/>
                <w:color w:val="000000"/>
                <w:sz w:val="19"/>
              </w:rPr>
              <w:t>Stakeholder</w:t>
            </w:r>
          </w:p>
        </w:tc>
        <w:tc>
          <w:tcPr>
            <w:tcW w:type="dxa" w:w="4592"/>
            <w:tcBorders>
              <w:bottom w:val="single" w:sz="8" w:color="000000"/>
            </w:tcBorders>
          </w:tcPr>
          <w:p>
            <w:pPr>
              <w:spacing w:after="60"/>
            </w:pPr>
            <w:r>
              <w:rPr>
                <w:rFonts w:ascii="Arial" w:hAnsi="Arial"/>
                <w:b/>
                <w:color w:val="000000"/>
                <w:sz w:val="19"/>
              </w:rPr>
              <w:t>Interest / role</w:t>
            </w:r>
          </w:p>
        </w:tc>
      </w:tr>
      <w:tr>
        <w:tc>
          <w:tcPr>
            <w:tcW w:type="dxa" w:w="4592"/>
            <w:tcBorders>
              <w:bottom w:val="single" w:sz="4" w:color="D9D9D9"/>
            </w:tcBorders>
          </w:tcPr>
          <w:p>
            <w:pPr>
              <w:spacing w:after="60"/>
            </w:pPr>
            <w:r>
              <w:rPr>
                <w:rFonts w:ascii="Arial" w:hAnsi="Arial"/>
                <w:b w:val="0"/>
                <w:color w:val="000000"/>
                <w:sz w:val="19"/>
              </w:rPr>
              <w:t>Product owner</w:t>
            </w:r>
          </w:p>
        </w:tc>
        <w:tc>
          <w:tcPr>
            <w:tcW w:type="dxa" w:w="4592"/>
            <w:tcBorders>
              <w:bottom w:val="single" w:sz="4" w:color="D9D9D9"/>
            </w:tcBorders>
          </w:tcPr>
          <w:p>
            <w:pPr>
              <w:spacing w:after="60"/>
            </w:pPr>
            <w:r>
              <w:rPr>
                <w:rFonts w:ascii="Arial" w:hAnsi="Arial"/>
                <w:b w:val="0"/>
                <w:color w:val="000000"/>
                <w:sz w:val="19"/>
              </w:rPr>
              <w:t>Business value, KPIs, scope and priorities</w:t>
            </w:r>
          </w:p>
        </w:tc>
      </w:tr>
      <w:tr>
        <w:tc>
          <w:tcPr>
            <w:tcW w:type="dxa" w:w="4592"/>
            <w:tcBorders>
              <w:bottom w:val="single" w:sz="4" w:color="D9D9D9"/>
            </w:tcBorders>
          </w:tcPr>
          <w:p>
            <w:pPr>
              <w:spacing w:after="60"/>
            </w:pPr>
            <w:r>
              <w:rPr>
                <w:rFonts w:ascii="Arial" w:hAnsi="Arial"/>
                <w:b w:val="0"/>
                <w:color w:val="000000"/>
                <w:sz w:val="19"/>
              </w:rPr>
              <w:t>ML engineer</w:t>
            </w:r>
          </w:p>
        </w:tc>
        <w:tc>
          <w:tcPr>
            <w:tcW w:type="dxa" w:w="4592"/>
            <w:tcBorders>
              <w:bottom w:val="single" w:sz="4" w:color="D9D9D9"/>
            </w:tcBorders>
          </w:tcPr>
          <w:p>
            <w:pPr>
              <w:spacing w:after="60"/>
            </w:pPr>
            <w:r>
              <w:rPr>
                <w:rFonts w:ascii="Arial" w:hAnsi="Arial"/>
                <w:b w:val="0"/>
                <w:color w:val="000000"/>
                <w:sz w:val="19"/>
              </w:rPr>
              <w:t>Model design, training, evaluation, drift strategy</w:t>
            </w:r>
          </w:p>
        </w:tc>
      </w:tr>
      <w:tr>
        <w:tc>
          <w:tcPr>
            <w:tcW w:type="dxa" w:w="4592"/>
            <w:tcBorders>
              <w:bottom w:val="single" w:sz="4" w:color="D9D9D9"/>
            </w:tcBorders>
          </w:tcPr>
          <w:p>
            <w:pPr>
              <w:spacing w:after="60"/>
            </w:pPr>
            <w:r>
              <w:rPr>
                <w:rFonts w:ascii="Arial" w:hAnsi="Arial"/>
                <w:b w:val="0"/>
                <w:color w:val="000000"/>
                <w:sz w:val="19"/>
              </w:rPr>
              <w:t>MLOps / platform engineer</w:t>
            </w:r>
          </w:p>
        </w:tc>
        <w:tc>
          <w:tcPr>
            <w:tcW w:type="dxa" w:w="4592"/>
            <w:tcBorders>
              <w:bottom w:val="single" w:sz="4" w:color="D9D9D9"/>
            </w:tcBorders>
          </w:tcPr>
          <w:p>
            <w:pPr>
              <w:spacing w:after="60"/>
            </w:pPr>
            <w:r>
              <w:rPr>
                <w:rFonts w:ascii="Arial" w:hAnsi="Arial"/>
                <w:b w:val="0"/>
                <w:color w:val="000000"/>
                <w:sz w:val="19"/>
              </w:rPr>
              <w:t>CI/CD, deployment, monitoring, reliability</w:t>
            </w:r>
          </w:p>
        </w:tc>
      </w:tr>
      <w:tr>
        <w:tc>
          <w:tcPr>
            <w:tcW w:type="dxa" w:w="4592"/>
            <w:tcBorders>
              <w:bottom w:val="single" w:sz="4" w:color="D9D9D9"/>
            </w:tcBorders>
          </w:tcPr>
          <w:p>
            <w:pPr>
              <w:spacing w:after="60"/>
            </w:pPr>
            <w:r>
              <w:rPr>
                <w:rFonts w:ascii="Arial" w:hAnsi="Arial"/>
                <w:b w:val="0"/>
                <w:color w:val="000000"/>
                <w:sz w:val="19"/>
              </w:rPr>
              <w:t>Robotics OEM</w:t>
            </w:r>
          </w:p>
        </w:tc>
        <w:tc>
          <w:tcPr>
            <w:tcW w:type="dxa" w:w="4592"/>
            <w:tcBorders>
              <w:bottom w:val="single" w:sz="4" w:color="D9D9D9"/>
            </w:tcBorders>
          </w:tcPr>
          <w:p>
            <w:pPr>
              <w:spacing w:after="60"/>
            </w:pPr>
            <w:r>
              <w:rPr>
                <w:rFonts w:ascii="Arial" w:hAnsi="Arial"/>
                <w:b w:val="0"/>
                <w:color w:val="000000"/>
                <w:sz w:val="19"/>
              </w:rPr>
              <w:t>Embeds the perception module; needs a stable, updatable model API</w:t>
            </w:r>
          </w:p>
        </w:tc>
      </w:tr>
      <w:tr>
        <w:tc>
          <w:tcPr>
            <w:tcW w:type="dxa" w:w="4592"/>
            <w:tcBorders>
              <w:bottom w:val="single" w:sz="4" w:color="D9D9D9"/>
            </w:tcBorders>
          </w:tcPr>
          <w:p>
            <w:pPr>
              <w:spacing w:after="60"/>
            </w:pPr>
            <w:r>
              <w:rPr>
                <w:rFonts w:ascii="Arial" w:hAnsi="Arial"/>
                <w:b w:val="0"/>
                <w:color w:val="000000"/>
                <w:sz w:val="19"/>
              </w:rPr>
              <w:t>Robot operator / grounds team</w:t>
            </w:r>
          </w:p>
        </w:tc>
        <w:tc>
          <w:tcPr>
            <w:tcW w:type="dxa" w:w="4592"/>
            <w:tcBorders>
              <w:bottom w:val="single" w:sz="4" w:color="D9D9D9"/>
            </w:tcBorders>
          </w:tcPr>
          <w:p>
            <w:pPr>
              <w:spacing w:after="60"/>
            </w:pPr>
            <w:r>
              <w:rPr>
                <w:rFonts w:ascii="Arial" w:hAnsi="Arial"/>
                <w:b w:val="0"/>
                <w:color w:val="000000"/>
                <w:sz w:val="19"/>
              </w:rPr>
              <w:t>Reliable weed-vs-crop calls so the robot removes only weeds</w:t>
            </w:r>
          </w:p>
        </w:tc>
      </w:tr>
      <w:tr>
        <w:tc>
          <w:tcPr>
            <w:tcW w:type="dxa" w:w="4592"/>
            <w:tcBorders>
              <w:bottom w:val="single" w:sz="4" w:color="D9D9D9"/>
            </w:tcBorders>
          </w:tcPr>
          <w:p>
            <w:pPr>
              <w:spacing w:after="60"/>
            </w:pPr>
            <w:r>
              <w:rPr>
                <w:rFonts w:ascii="Arial" w:hAnsi="Arial"/>
                <w:b w:val="0"/>
                <w:color w:val="000000"/>
                <w:sz w:val="19"/>
              </w:rPr>
              <w:t>RNCP jury</w:t>
            </w:r>
          </w:p>
        </w:tc>
        <w:tc>
          <w:tcPr>
            <w:tcW w:type="dxa" w:w="4592"/>
            <w:tcBorders>
              <w:bottom w:val="single" w:sz="4" w:color="D9D9D9"/>
            </w:tcBorders>
          </w:tcPr>
          <w:p>
            <w:pPr>
              <w:spacing w:after="60"/>
            </w:pPr>
            <w:r>
              <w:rPr>
                <w:rFonts w:ascii="Arial" w:hAnsi="Arial"/>
                <w:b w:val="0"/>
                <w:color w:val="000000"/>
                <w:sz w:val="19"/>
              </w:rPr>
              <w:t>Evaluates the solution against the competency framework</w:t>
            </w:r>
          </w:p>
        </w:tc>
      </w:tr>
    </w:tbl>
    <w:p>
      <w:pPr>
        <w:spacing w:after="40"/>
      </w:pPr>
    </w:p>
    <w:p>
      <w:pPr>
        <w:spacing w:before="360" w:after="40"/>
      </w:pPr>
      <w:r>
        <w:rPr>
          <w:rFonts w:ascii="Arial" w:hAnsi="Arial"/>
          <w:b/>
          <w:color w:val="4D4D4D"/>
          <w:sz w:val="16"/>
        </w:rPr>
        <w:t>SECTION 5</w:t>
      </w:r>
    </w:p>
    <w:p>
      <w:pPr>
        <w:spacing w:after="160"/>
        <w:pBdr>
          <w:bottom w:val="single" w:sz="6" w:color="B3B3B3"/>
        </w:pBdr>
      </w:pPr>
      <w:r>
        <w:rPr>
          <w:rFonts w:ascii="Georgia" w:hAnsi="Georgia"/>
          <w:b/>
          <w:color w:val="000000"/>
          <w:sz w:val="34"/>
        </w:rPr>
        <w:t>Functional Requirements</w:t>
      </w:r>
    </w:p>
    <w:p>
      <w:pPr>
        <w:spacing w:after="80"/>
        <w:ind w:left="312"/>
      </w:pPr>
      <w:r>
        <w:rPr>
          <w:b/>
          <w:sz w:val="21"/>
        </w:rPr>
        <w:t xml:space="preserve">1.  </w:t>
      </w:r>
      <w:r>
        <w:rPr>
          <w:rFonts w:ascii="Arial" w:hAnsi="Arial"/>
          <w:b w:val="0"/>
          <w:color w:val="000000"/>
          <w:sz w:val="21"/>
        </w:rPr>
        <w:t>The system shall ingest labelled images for two classes (dandelion, grass) and prepare them for training (resize, normalise).</w:t>
      </w:r>
    </w:p>
    <w:p>
      <w:pPr>
        <w:spacing w:after="80"/>
        <w:ind w:left="312"/>
      </w:pPr>
      <w:r>
        <w:rPr>
          <w:b/>
          <w:sz w:val="21"/>
        </w:rPr>
        <w:t xml:space="preserve">2.  </w:t>
      </w:r>
      <w:r>
        <w:rPr>
          <w:rFonts w:ascii="Arial" w:hAnsi="Arial"/>
          <w:b w:val="0"/>
          <w:color w:val="000000"/>
          <w:sz w:val="21"/>
        </w:rPr>
        <w:t>The system shall train an image classifier and record metrics and the model artifact for every run.</w:t>
      </w:r>
    </w:p>
    <w:p>
      <w:pPr>
        <w:spacing w:after="80"/>
        <w:ind w:left="312"/>
      </w:pPr>
      <w:r>
        <w:rPr>
          <w:b/>
          <w:sz w:val="21"/>
        </w:rPr>
        <w:t xml:space="preserve">3.  </w:t>
      </w:r>
      <w:r>
        <w:rPr>
          <w:rFonts w:ascii="Arial" w:hAnsi="Arial"/>
          <w:b w:val="0"/>
          <w:color w:val="000000"/>
          <w:sz w:val="21"/>
        </w:rPr>
        <w:t>The serving API shall expose `POST /predict` returning the predicted class and per-class probabilities for an uploaded image.</w:t>
      </w:r>
    </w:p>
    <w:p>
      <w:pPr>
        <w:spacing w:after="80"/>
        <w:ind w:left="312"/>
      </w:pPr>
      <w:r>
        <w:rPr>
          <w:b/>
          <w:sz w:val="21"/>
        </w:rPr>
        <w:t xml:space="preserve">4.  </w:t>
      </w:r>
      <w:r>
        <w:rPr>
          <w:rFonts w:ascii="Arial" w:hAnsi="Arial"/>
          <w:b w:val="0"/>
          <w:color w:val="000000"/>
          <w:sz w:val="21"/>
        </w:rPr>
        <w:t>The serving API shall expose `GET /health`, `GET /version` (model metadata) and `GET /metrics` (Prometheus).</w:t>
      </w:r>
    </w:p>
    <w:p>
      <w:pPr>
        <w:spacing w:after="80"/>
        <w:ind w:left="312"/>
      </w:pPr>
      <w:r>
        <w:rPr>
          <w:b/>
          <w:sz w:val="21"/>
        </w:rPr>
        <w:t xml:space="preserve">5.  </w:t>
      </w:r>
      <w:r>
        <w:rPr>
          <w:rFonts w:ascii="Arial" w:hAnsi="Arial"/>
          <w:b w:val="0"/>
          <w:color w:val="000000"/>
          <w:sz w:val="21"/>
        </w:rPr>
        <w:t>The system shall provide a web UI to upload an image and view the prediction.</w:t>
      </w:r>
    </w:p>
    <w:p>
      <w:pPr>
        <w:spacing w:after="80"/>
        <w:ind w:left="312"/>
      </w:pPr>
      <w:r>
        <w:rPr>
          <w:b/>
          <w:sz w:val="21"/>
        </w:rPr>
        <w:t xml:space="preserve">6.  </w:t>
      </w:r>
      <w:r>
        <w:rPr>
          <w:rFonts w:ascii="Arial" w:hAnsi="Arial"/>
          <w:b w:val="0"/>
          <w:color w:val="000000"/>
          <w:sz w:val="21"/>
        </w:rPr>
        <w:t>The system shall detect data drift between the incoming and reference image distributions and produce a drift report.</w:t>
      </w:r>
    </w:p>
    <w:p>
      <w:pPr>
        <w:spacing w:after="80"/>
        <w:ind w:left="312"/>
      </w:pPr>
      <w:r>
        <w:rPr>
          <w:b/>
          <w:sz w:val="21"/>
        </w:rPr>
        <w:t xml:space="preserve">7.  </w:t>
      </w:r>
      <w:r>
        <w:rPr>
          <w:rFonts w:ascii="Arial" w:hAnsi="Arial"/>
          <w:b w:val="0"/>
          <w:color w:val="000000"/>
          <w:sz w:val="21"/>
        </w:rPr>
        <w:t>The system shall retrain the model on a schedule and on detected drift, and promote the new model to serving.</w:t>
      </w:r>
    </w:p>
    <w:p>
      <w:pPr>
        <w:spacing w:before="360" w:after="40"/>
      </w:pPr>
      <w:r>
        <w:rPr>
          <w:rFonts w:ascii="Arial" w:hAnsi="Arial"/>
          <w:b/>
          <w:color w:val="4D4D4D"/>
          <w:sz w:val="16"/>
        </w:rPr>
        <w:t>SECTION 6</w:t>
      </w:r>
    </w:p>
    <w:p>
      <w:pPr>
        <w:spacing w:after="160"/>
        <w:pBdr>
          <w:bottom w:val="single" w:sz="6" w:color="B3B3B3"/>
        </w:pBdr>
      </w:pPr>
      <w:r>
        <w:rPr>
          <w:rFonts w:ascii="Georgia" w:hAnsi="Georgia"/>
          <w:b/>
          <w:color w:val="000000"/>
          <w:sz w:val="34"/>
        </w:rPr>
        <w:t>Non-Functional Requirements</w:t>
      </w:r>
    </w:p>
    <w:tbl>
      <w:tblPr>
        <w:tblW w:type="auto" w:w="0"/>
        <w:tblLayout w:type="autofit"/>
        <w:tblLook w:firstColumn="1" w:firstRow="1" w:lastColumn="0" w:lastRow="0" w:noHBand="0" w:noVBand="1" w:val="04A0"/>
      </w:tblPr>
      <w:tblGrid>
        <w:gridCol w:w="4592"/>
        <w:gridCol w:w="4592"/>
      </w:tblGrid>
      <w:tr>
        <w:tc>
          <w:tcPr>
            <w:tcW w:type="dxa" w:w="4592"/>
            <w:tcBorders>
              <w:bottom w:val="single" w:sz="8" w:color="000000"/>
            </w:tcBorders>
          </w:tcPr>
          <w:p>
            <w:pPr>
              <w:spacing w:after="60"/>
            </w:pPr>
            <w:r>
              <w:rPr>
                <w:rFonts w:ascii="Arial" w:hAnsi="Arial"/>
                <w:b/>
                <w:color w:val="000000"/>
                <w:sz w:val="19"/>
              </w:rPr>
              <w:t>Category</w:t>
            </w:r>
          </w:p>
        </w:tc>
        <w:tc>
          <w:tcPr>
            <w:tcW w:type="dxa" w:w="4592"/>
            <w:tcBorders>
              <w:bottom w:val="single" w:sz="8" w:color="000000"/>
            </w:tcBorders>
          </w:tcPr>
          <w:p>
            <w:pPr>
              <w:spacing w:after="60"/>
            </w:pPr>
            <w:r>
              <w:rPr>
                <w:rFonts w:ascii="Arial" w:hAnsi="Arial"/>
                <w:b/>
                <w:color w:val="000000"/>
                <w:sz w:val="19"/>
              </w:rPr>
              <w:t>Requirement</w:t>
            </w:r>
          </w:p>
        </w:tc>
      </w:tr>
      <w:tr>
        <w:tc>
          <w:tcPr>
            <w:tcW w:type="dxa" w:w="4592"/>
            <w:tcBorders>
              <w:bottom w:val="single" w:sz="4" w:color="D9D9D9"/>
            </w:tcBorders>
          </w:tcPr>
          <w:p>
            <w:pPr>
              <w:spacing w:after="60"/>
            </w:pPr>
            <w:r>
              <w:rPr>
                <w:rFonts w:ascii="Arial" w:hAnsi="Arial"/>
                <w:b w:val="0"/>
                <w:color w:val="000000"/>
                <w:sz w:val="19"/>
              </w:rPr>
              <w:t>Performance</w:t>
            </w:r>
          </w:p>
        </w:tc>
        <w:tc>
          <w:tcPr>
            <w:tcW w:type="dxa" w:w="4592"/>
            <w:tcBorders>
              <w:bottom w:val="single" w:sz="4" w:color="D9D9D9"/>
            </w:tcBorders>
          </w:tcPr>
          <w:p>
            <w:pPr>
              <w:spacing w:after="60"/>
            </w:pPr>
            <w:r>
              <w:rPr>
                <w:rFonts w:ascii="Arial" w:hAnsi="Arial"/>
                <w:b w:val="0"/>
                <w:color w:val="000000"/>
                <w:sz w:val="19"/>
              </w:rPr>
              <w:t>p90 inference latency &lt; 500 ms on CPU; training &lt; ~10 min on CPU</w:t>
            </w:r>
          </w:p>
        </w:tc>
      </w:tr>
      <w:tr>
        <w:tc>
          <w:tcPr>
            <w:tcW w:type="dxa" w:w="4592"/>
            <w:tcBorders>
              <w:bottom w:val="single" w:sz="4" w:color="D9D9D9"/>
            </w:tcBorders>
          </w:tcPr>
          <w:p>
            <w:pPr>
              <w:spacing w:after="60"/>
            </w:pPr>
            <w:r>
              <w:rPr>
                <w:rFonts w:ascii="Arial" w:hAnsi="Arial"/>
                <w:b w:val="0"/>
                <w:color w:val="000000"/>
                <w:sz w:val="19"/>
              </w:rPr>
              <w:t>Availability</w:t>
            </w:r>
          </w:p>
        </w:tc>
        <w:tc>
          <w:tcPr>
            <w:tcW w:type="dxa" w:w="4592"/>
            <w:tcBorders>
              <w:bottom w:val="single" w:sz="4" w:color="D9D9D9"/>
            </w:tcBorders>
          </w:tcPr>
          <w:p>
            <w:pPr>
              <w:spacing w:after="60"/>
            </w:pPr>
            <w:r>
              <w:rPr>
                <w:rFonts w:ascii="Arial" w:hAnsi="Arial"/>
                <w:b w:val="0"/>
                <w:color w:val="000000"/>
                <w:sz w:val="19"/>
              </w:rPr>
              <w:t>API starts even if no model is present yet (returns 503 on predict until ready)</w:t>
            </w:r>
          </w:p>
        </w:tc>
      </w:tr>
      <w:tr>
        <w:tc>
          <w:tcPr>
            <w:tcW w:type="dxa" w:w="4592"/>
            <w:tcBorders>
              <w:bottom w:val="single" w:sz="4" w:color="D9D9D9"/>
            </w:tcBorders>
          </w:tcPr>
          <w:p>
            <w:pPr>
              <w:spacing w:after="60"/>
            </w:pPr>
            <w:r>
              <w:rPr>
                <w:rFonts w:ascii="Arial" w:hAnsi="Arial"/>
                <w:b w:val="0"/>
                <w:color w:val="000000"/>
                <w:sz w:val="19"/>
              </w:rPr>
              <w:t>Scalability</w:t>
            </w:r>
          </w:p>
        </w:tc>
        <w:tc>
          <w:tcPr>
            <w:tcW w:type="dxa" w:w="4592"/>
            <w:tcBorders>
              <w:bottom w:val="single" w:sz="4" w:color="D9D9D9"/>
            </w:tcBorders>
          </w:tcPr>
          <w:p>
            <w:pPr>
              <w:spacing w:after="60"/>
            </w:pPr>
            <w:r>
              <w:rPr>
                <w:rFonts w:ascii="Arial" w:hAnsi="Arial"/>
                <w:b w:val="0"/>
                <w:color w:val="000000"/>
                <w:sz w:val="19"/>
              </w:rPr>
              <w:t>Stateless API, horizontally scalable behind a Kubernetes Service</w:t>
            </w:r>
          </w:p>
        </w:tc>
      </w:tr>
      <w:tr>
        <w:tc>
          <w:tcPr>
            <w:tcW w:type="dxa" w:w="4592"/>
            <w:tcBorders>
              <w:bottom w:val="single" w:sz="4" w:color="D9D9D9"/>
            </w:tcBorders>
          </w:tcPr>
          <w:p>
            <w:pPr>
              <w:spacing w:after="60"/>
            </w:pPr>
            <w:r>
              <w:rPr>
                <w:rFonts w:ascii="Arial" w:hAnsi="Arial"/>
                <w:b w:val="0"/>
                <w:color w:val="000000"/>
                <w:sz w:val="19"/>
              </w:rPr>
              <w:t>Security</w:t>
            </w:r>
          </w:p>
        </w:tc>
        <w:tc>
          <w:tcPr>
            <w:tcW w:type="dxa" w:w="4592"/>
            <w:tcBorders>
              <w:bottom w:val="single" w:sz="4" w:color="D9D9D9"/>
            </w:tcBorders>
          </w:tcPr>
          <w:p>
            <w:pPr>
              <w:spacing w:after="60"/>
            </w:pPr>
            <w:r>
              <w:rPr>
                <w:rFonts w:ascii="Arial" w:hAnsi="Arial"/>
                <w:b w:val="0"/>
                <w:color w:val="000000"/>
                <w:sz w:val="19"/>
              </w:rPr>
              <w:t>Secrets via environment/K8s Secrets; no credentials in code; least-privilege CI token</w:t>
            </w:r>
          </w:p>
        </w:tc>
      </w:tr>
      <w:tr>
        <w:tc>
          <w:tcPr>
            <w:tcW w:type="dxa" w:w="4592"/>
            <w:tcBorders>
              <w:bottom w:val="single" w:sz="4" w:color="D9D9D9"/>
            </w:tcBorders>
          </w:tcPr>
          <w:p>
            <w:pPr>
              <w:spacing w:after="60"/>
            </w:pPr>
            <w:r>
              <w:rPr>
                <w:rFonts w:ascii="Arial" w:hAnsi="Arial"/>
                <w:b w:val="0"/>
                <w:color w:val="000000"/>
                <w:sz w:val="19"/>
              </w:rPr>
              <w:t>Maintainability</w:t>
            </w:r>
          </w:p>
        </w:tc>
        <w:tc>
          <w:tcPr>
            <w:tcW w:type="dxa" w:w="4592"/>
            <w:tcBorders>
              <w:bottom w:val="single" w:sz="4" w:color="D9D9D9"/>
            </w:tcBorders>
          </w:tcPr>
          <w:p>
            <w:pPr>
              <w:spacing w:after="60"/>
            </w:pPr>
            <w:r>
              <w:rPr>
                <w:rFonts w:ascii="Arial" w:hAnsi="Arial"/>
                <w:b w:val="0"/>
                <w:color w:val="000000"/>
                <w:sz w:val="19"/>
              </w:rPr>
              <w:t>Tested code, typed where practical, documented; one-command local stack</w:t>
            </w:r>
          </w:p>
        </w:tc>
      </w:tr>
      <w:tr>
        <w:tc>
          <w:tcPr>
            <w:tcW w:type="dxa" w:w="4592"/>
            <w:tcBorders>
              <w:bottom w:val="single" w:sz="4" w:color="D9D9D9"/>
            </w:tcBorders>
          </w:tcPr>
          <w:p>
            <w:pPr>
              <w:spacing w:after="60"/>
            </w:pPr>
            <w:r>
              <w:rPr>
                <w:rFonts w:ascii="Arial" w:hAnsi="Arial"/>
                <w:b w:val="0"/>
                <w:color w:val="000000"/>
                <w:sz w:val="19"/>
              </w:rPr>
              <w:t>Portability</w:t>
            </w:r>
          </w:p>
        </w:tc>
        <w:tc>
          <w:tcPr>
            <w:tcW w:type="dxa" w:w="4592"/>
            <w:tcBorders>
              <w:bottom w:val="single" w:sz="4" w:color="D9D9D9"/>
            </w:tcBorders>
          </w:tcPr>
          <w:p>
            <w:pPr>
              <w:spacing w:after="60"/>
            </w:pPr>
            <w:r>
              <w:rPr>
                <w:rFonts w:ascii="Arial" w:hAnsi="Arial"/>
                <w:b w:val="0"/>
                <w:color w:val="000000"/>
                <w:sz w:val="19"/>
              </w:rPr>
              <w:t>Runs identically via Docker Compose (local) and Minikube (cluster)</w:t>
            </w:r>
          </w:p>
        </w:tc>
      </w:tr>
      <w:tr>
        <w:tc>
          <w:tcPr>
            <w:tcW w:type="dxa" w:w="4592"/>
            <w:tcBorders>
              <w:bottom w:val="single" w:sz="4" w:color="D9D9D9"/>
            </w:tcBorders>
          </w:tcPr>
          <w:p>
            <w:pPr>
              <w:spacing w:after="60"/>
            </w:pPr>
            <w:r>
              <w:rPr>
                <w:rFonts w:ascii="Arial" w:hAnsi="Arial"/>
                <w:b w:val="0"/>
                <w:color w:val="000000"/>
                <w:sz w:val="19"/>
              </w:rPr>
              <w:t>Cost</w:t>
            </w:r>
          </w:p>
        </w:tc>
        <w:tc>
          <w:tcPr>
            <w:tcW w:type="dxa" w:w="4592"/>
            <w:tcBorders>
              <w:bottom w:val="single" w:sz="4" w:color="D9D9D9"/>
            </w:tcBorders>
          </w:tcPr>
          <w:p>
            <w:pPr>
              <w:spacing w:after="60"/>
            </w:pPr>
            <w:r>
              <w:rPr>
                <w:rFonts w:ascii="Arial" w:hAnsi="Arial"/>
                <w:b w:val="0"/>
                <w:color w:val="000000"/>
                <w:sz w:val="19"/>
              </w:rPr>
              <w:t>Lightweight model (ResNet18) and open-source stack; no managed-service lock-in</w:t>
            </w:r>
          </w:p>
        </w:tc>
      </w:tr>
      <w:tr>
        <w:tc>
          <w:tcPr>
            <w:tcW w:type="dxa" w:w="4592"/>
            <w:tcBorders>
              <w:bottom w:val="single" w:sz="4" w:color="D9D9D9"/>
            </w:tcBorders>
          </w:tcPr>
          <w:p>
            <w:pPr>
              <w:spacing w:after="60"/>
            </w:pPr>
            <w:r>
              <w:rPr>
                <w:rFonts w:ascii="Arial" w:hAnsi="Arial"/>
                <w:b w:val="0"/>
                <w:color w:val="000000"/>
                <w:sz w:val="19"/>
              </w:rPr>
              <w:t>Reproducibility</w:t>
            </w:r>
          </w:p>
        </w:tc>
        <w:tc>
          <w:tcPr>
            <w:tcW w:type="dxa" w:w="4592"/>
            <w:tcBorders>
              <w:bottom w:val="single" w:sz="4" w:color="D9D9D9"/>
            </w:tcBorders>
          </w:tcPr>
          <w:p>
            <w:pPr>
              <w:spacing w:after="60"/>
            </w:pPr>
            <w:r>
              <w:rPr>
                <w:rFonts w:ascii="Arial" w:hAnsi="Arial"/>
                <w:b w:val="0"/>
                <w:color w:val="000000"/>
                <w:sz w:val="19"/>
              </w:rPr>
              <w:t>Fixed seeds, pinned dependencies, MLflow run tracking</w:t>
            </w:r>
          </w:p>
        </w:tc>
      </w:tr>
    </w:tbl>
    <w:p>
      <w:pPr>
        <w:spacing w:after="40"/>
      </w:pPr>
    </w:p>
    <w:p>
      <w:pPr>
        <w:spacing w:before="360" w:after="40"/>
      </w:pPr>
      <w:r>
        <w:rPr>
          <w:rFonts w:ascii="Arial" w:hAnsi="Arial"/>
          <w:b/>
          <w:color w:val="4D4D4D"/>
          <w:sz w:val="16"/>
        </w:rPr>
        <w:t>SECTION 7</w:t>
      </w:r>
    </w:p>
    <w:p>
      <w:pPr>
        <w:spacing w:after="160"/>
        <w:pBdr>
          <w:bottom w:val="single" w:sz="6" w:color="B3B3B3"/>
        </w:pBdr>
      </w:pPr>
      <w:r>
        <w:rPr>
          <w:rFonts w:ascii="Georgia" w:hAnsi="Georgia"/>
          <w:b/>
          <w:color w:val="000000"/>
          <w:sz w:val="34"/>
        </w:rPr>
        <w:t>Data Requirements</w:t>
      </w:r>
    </w:p>
    <w:p>
      <w:pPr>
        <w:spacing w:after="80"/>
        <w:ind w:left="312"/>
      </w:pPr>
      <w:r>
        <w:rPr>
          <w:sz w:val="21"/>
        </w:rPr>
        <w:t xml:space="preserve">•  </w:t>
      </w:r>
      <w:r>
        <w:rPr>
          <w:rFonts w:ascii="Arial" w:hAnsi="Arial"/>
          <w:b/>
          <w:color w:val="000000"/>
          <w:sz w:val="21"/>
        </w:rPr>
        <w:t>Source:</w:t>
      </w:r>
      <w:r>
        <w:rPr>
          <w:rFonts w:ascii="Arial" w:hAnsi="Arial"/>
          <w:b w:val="0"/>
          <w:color w:val="000000"/>
          <w:sz w:val="21"/>
        </w:rPr>
        <w:t xml:space="preserve"> public image dataset (`btphan95/greenr-airflow`), ~200 images/class.</w:t>
      </w:r>
    </w:p>
    <w:p>
      <w:pPr>
        <w:spacing w:after="80"/>
        <w:ind w:left="312"/>
      </w:pPr>
      <w:r>
        <w:rPr>
          <w:sz w:val="21"/>
        </w:rPr>
        <w:t xml:space="preserve">•  </w:t>
      </w:r>
      <w:r>
        <w:rPr>
          <w:rFonts w:ascii="Arial" w:hAnsi="Arial"/>
          <w:b/>
          <w:color w:val="000000"/>
          <w:sz w:val="21"/>
        </w:rPr>
        <w:t>Storage:</w:t>
      </w:r>
      <w:r>
        <w:rPr>
          <w:rFonts w:ascii="Arial" w:hAnsi="Arial"/>
          <w:b w:val="0"/>
          <w:color w:val="000000"/>
          <w:sz w:val="21"/>
        </w:rPr>
        <w:t xml:space="preserve"> raw and processed images in MinIO (S3-compatible), versioned by pipeline run.</w:t>
      </w:r>
    </w:p>
    <w:p>
      <w:pPr>
        <w:spacing w:after="80"/>
        <w:ind w:left="312"/>
      </w:pPr>
      <w:r>
        <w:rPr>
          <w:sz w:val="21"/>
        </w:rPr>
        <w:t xml:space="preserve">•  </w:t>
      </w:r>
      <w:r>
        <w:rPr>
          <w:rFonts w:ascii="Arial" w:hAnsi="Arial"/>
          <w:b/>
          <w:color w:val="000000"/>
          <w:sz w:val="21"/>
        </w:rPr>
        <w:t>Preparation:</w:t>
      </w:r>
      <w:r>
        <w:rPr>
          <w:rFonts w:ascii="Arial" w:hAnsi="Arial"/>
          <w:b w:val="0"/>
          <w:color w:val="000000"/>
          <w:sz w:val="21"/>
        </w:rPr>
        <w:t xml:space="preserve"> convert to RGB, resize/fit to 128×128, ImageNet normalisation.</w:t>
      </w:r>
    </w:p>
    <w:p>
      <w:pPr>
        <w:spacing w:after="80"/>
        <w:ind w:left="312"/>
      </w:pPr>
      <w:r>
        <w:rPr>
          <w:sz w:val="21"/>
        </w:rPr>
        <w:t xml:space="preserve">•  </w:t>
      </w:r>
      <w:r>
        <w:rPr>
          <w:rFonts w:ascii="Arial" w:hAnsi="Arial"/>
          <w:b/>
          <w:color w:val="000000"/>
          <w:sz w:val="21"/>
        </w:rPr>
        <w:t>Governance:</w:t>
      </w:r>
      <w:r>
        <w:rPr>
          <w:rFonts w:ascii="Arial" w:hAnsi="Arial"/>
          <w:b w:val="0"/>
          <w:color w:val="000000"/>
          <w:sz w:val="21"/>
        </w:rPr>
        <w:t xml:space="preserve"> no personal data; public plant imagery only. Lineage is traced via Airflow run IDs and MLflow tags.</w:t>
      </w:r>
    </w:p>
    <w:p>
      <w:pPr>
        <w:spacing w:before="360" w:after="40"/>
      </w:pPr>
      <w:r>
        <w:rPr>
          <w:rFonts w:ascii="Arial" w:hAnsi="Arial"/>
          <w:b/>
          <w:color w:val="4D4D4D"/>
          <w:sz w:val="16"/>
        </w:rPr>
        <w:t>SECTION 8</w:t>
      </w:r>
    </w:p>
    <w:p>
      <w:pPr>
        <w:spacing w:after="160"/>
        <w:pBdr>
          <w:bottom w:val="single" w:sz="6" w:color="B3B3B3"/>
        </w:pBdr>
      </w:pPr>
      <w:r>
        <w:rPr>
          <w:rFonts w:ascii="Georgia" w:hAnsi="Georgia"/>
          <w:b/>
          <w:color w:val="000000"/>
          <w:sz w:val="34"/>
        </w:rPr>
        <w:t>ML Requirements &amp; Acceptance Thresholds</w:t>
      </w:r>
    </w:p>
    <w:p>
      <w:pPr>
        <w:spacing w:after="80"/>
        <w:ind w:left="312"/>
      </w:pPr>
      <w:r>
        <w:rPr>
          <w:sz w:val="21"/>
        </w:rPr>
        <w:t xml:space="preserve">•  </w:t>
      </w:r>
      <w:r>
        <w:rPr>
          <w:rFonts w:ascii="Arial" w:hAnsi="Arial"/>
          <w:b/>
          <w:color w:val="000000"/>
          <w:sz w:val="21"/>
        </w:rPr>
        <w:t>Architecture:</w:t>
      </w:r>
      <w:r>
        <w:rPr>
          <w:rFonts w:ascii="Arial" w:hAnsi="Arial"/>
          <w:b w:val="0"/>
          <w:color w:val="000000"/>
          <w:sz w:val="21"/>
        </w:rPr>
        <w:t xml:space="preserve"> ResNet18 transfer learning (production) with a custom-CNN baseline available for fully offline runs.</w:t>
      </w:r>
    </w:p>
    <w:p>
      <w:pPr>
        <w:spacing w:after="80"/>
        <w:ind w:left="312"/>
      </w:pPr>
      <w:r>
        <w:rPr>
          <w:sz w:val="21"/>
        </w:rPr>
        <w:t xml:space="preserve">•  </w:t>
      </w:r>
      <w:r>
        <w:rPr>
          <w:rFonts w:ascii="Arial" w:hAnsi="Arial"/>
          <w:b/>
          <w:color w:val="000000"/>
          <w:sz w:val="21"/>
        </w:rPr>
        <w:t>Metrics:</w:t>
      </w:r>
      <w:r>
        <w:rPr>
          <w:rFonts w:ascii="Arial" w:hAnsi="Arial"/>
          <w:b w:val="0"/>
          <w:color w:val="000000"/>
          <w:sz w:val="21"/>
        </w:rPr>
        <w:t xml:space="preserve"> accuracy, macro F1, precision, recall, confusion matrix.</w:t>
      </w:r>
    </w:p>
    <w:p>
      <w:pPr>
        <w:spacing w:after="80"/>
        <w:ind w:left="312"/>
      </w:pPr>
      <w:r>
        <w:rPr>
          <w:sz w:val="21"/>
        </w:rPr>
        <w:t xml:space="preserve">•  </w:t>
      </w:r>
      <w:r>
        <w:rPr>
          <w:rFonts w:ascii="Arial" w:hAnsi="Arial"/>
          <w:b/>
          <w:color w:val="000000"/>
          <w:sz w:val="21"/>
        </w:rPr>
        <w:t>Release gate:</w:t>
      </w:r>
      <w:r>
        <w:rPr>
          <w:rFonts w:ascii="Arial" w:hAnsi="Arial"/>
          <w:b w:val="0"/>
          <w:color w:val="000000"/>
          <w:sz w:val="21"/>
        </w:rPr>
        <w:t xml:space="preserve"> a candidate model is promotable only if macro-F1 ≥ 0.85 on the validation split.</w:t>
      </w:r>
    </w:p>
    <w:p>
      <w:pPr>
        <w:spacing w:after="80"/>
        <w:ind w:left="312"/>
      </w:pPr>
      <w:r>
        <w:rPr>
          <w:sz w:val="21"/>
        </w:rPr>
        <w:t xml:space="preserve">•  </w:t>
      </w:r>
      <w:r>
        <w:rPr>
          <w:rFonts w:ascii="Arial" w:hAnsi="Arial"/>
          <w:b/>
          <w:color w:val="000000"/>
          <w:sz w:val="21"/>
        </w:rPr>
        <w:t>Tracking:</w:t>
      </w:r>
      <w:r>
        <w:rPr>
          <w:rFonts w:ascii="Arial" w:hAnsi="Arial"/>
          <w:b w:val="0"/>
          <w:color w:val="000000"/>
          <w:sz w:val="21"/>
        </w:rPr>
        <w:t xml:space="preserve"> params, metrics, code and the serialized model logged to MLflow.</w:t>
      </w:r>
    </w:p>
    <w:p>
      <w:pPr>
        <w:spacing w:before="360" w:after="40"/>
      </w:pPr>
      <w:r>
        <w:rPr>
          <w:rFonts w:ascii="Arial" w:hAnsi="Arial"/>
          <w:b/>
          <w:color w:val="4D4D4D"/>
          <w:sz w:val="16"/>
        </w:rPr>
        <w:t>SECTION 9</w:t>
      </w:r>
    </w:p>
    <w:p>
      <w:pPr>
        <w:spacing w:after="160"/>
        <w:pBdr>
          <w:bottom w:val="single" w:sz="6" w:color="B3B3B3"/>
        </w:pBdr>
      </w:pPr>
      <w:r>
        <w:rPr>
          <w:rFonts w:ascii="Georgia" w:hAnsi="Georgia"/>
          <w:b/>
          <w:color w:val="000000"/>
          <w:sz w:val="34"/>
        </w:rPr>
        <w:t>MLOps Requirements</w:t>
      </w:r>
    </w:p>
    <w:p>
      <w:pPr>
        <w:spacing w:after="80"/>
        <w:ind w:left="312"/>
      </w:pPr>
      <w:r>
        <w:rPr>
          <w:sz w:val="21"/>
        </w:rPr>
        <w:t xml:space="preserve">•  </w:t>
      </w:r>
      <w:r>
        <w:rPr>
          <w:rFonts w:ascii="Arial" w:hAnsi="Arial"/>
          <w:b/>
          <w:color w:val="000000"/>
          <w:sz w:val="21"/>
        </w:rPr>
        <w:t>CI/CD:</w:t>
      </w:r>
      <w:r>
        <w:rPr>
          <w:rFonts w:ascii="Arial" w:hAnsi="Arial"/>
          <w:b w:val="0"/>
          <w:color w:val="000000"/>
          <w:sz w:val="21"/>
        </w:rPr>
        <w:t xml:space="preserve"> on every push to `main` - run tests, build and publish the container image to the registry, and validate the Kubernetes deployment manifests (schema-checked, offline). The same manifests deploy to a local Minikube cluster.</w:t>
      </w:r>
    </w:p>
    <w:p>
      <w:pPr>
        <w:spacing w:after="80"/>
        <w:ind w:left="312"/>
      </w:pPr>
      <w:r>
        <w:rPr>
          <w:sz w:val="21"/>
        </w:rPr>
        <w:t xml:space="preserve">•  </w:t>
      </w:r>
      <w:r>
        <w:rPr>
          <w:rFonts w:ascii="Arial" w:hAnsi="Arial"/>
          <w:b/>
          <w:color w:val="000000"/>
          <w:sz w:val="21"/>
        </w:rPr>
        <w:t>Retraining:</w:t>
      </w:r>
      <w:r>
        <w:rPr>
          <w:rFonts w:ascii="Arial" w:hAnsi="Arial"/>
          <w:b w:val="0"/>
          <w:color w:val="000000"/>
          <w:sz w:val="21"/>
        </w:rPr>
        <w:t xml:space="preserve"> monthly scheduled refresh plus drift-triggered retraining, using the same drift definition as monitoring.</w:t>
      </w:r>
    </w:p>
    <w:p>
      <w:pPr>
        <w:spacing w:after="80"/>
        <w:ind w:left="312"/>
      </w:pPr>
      <w:r>
        <w:rPr>
          <w:sz w:val="21"/>
        </w:rPr>
        <w:t xml:space="preserve">•  </w:t>
      </w:r>
      <w:r>
        <w:rPr>
          <w:rFonts w:ascii="Arial" w:hAnsi="Arial"/>
          <w:b/>
          <w:color w:val="000000"/>
          <w:sz w:val="21"/>
        </w:rPr>
        <w:t>Monitoring:</w:t>
      </w:r>
      <w:r>
        <w:rPr>
          <w:rFonts w:ascii="Arial" w:hAnsi="Arial"/>
          <w:b w:val="0"/>
          <w:color w:val="000000"/>
          <w:sz w:val="21"/>
        </w:rPr>
        <w:t xml:space="preserve"> operational metrics (prediction count, p90 latency) and data drift (per-feature PSI, dataset-drift flag) on Prometheus + Grafana; a human-readable drift report (Evidently, with a dependency-free fallback).</w:t>
      </w:r>
    </w:p>
    <w:p>
      <w:pPr>
        <w:spacing w:before="360" w:after="40"/>
      </w:pPr>
      <w:r>
        <w:rPr>
          <w:rFonts w:ascii="Arial" w:hAnsi="Arial"/>
          <w:b/>
          <w:color w:val="4D4D4D"/>
          <w:sz w:val="16"/>
        </w:rPr>
        <w:t>SECTION 10</w:t>
      </w:r>
    </w:p>
    <w:p>
      <w:pPr>
        <w:spacing w:after="160"/>
        <w:pBdr>
          <w:bottom w:val="single" w:sz="6" w:color="B3B3B3"/>
        </w:pBdr>
      </w:pPr>
      <w:r>
        <w:rPr>
          <w:rFonts w:ascii="Georgia" w:hAnsi="Georgia"/>
          <w:b/>
          <w:color w:val="000000"/>
          <w:sz w:val="34"/>
        </w:rPr>
        <w:t>Architecture &amp; Technology Choices</w:t>
      </w:r>
    </w:p>
    <w:tbl>
      <w:tblPr>
        <w:tblW w:type="auto" w:w="0"/>
        <w:tblLayout w:type="autofit"/>
        <w:tblLook w:firstColumn="1" w:firstRow="1" w:lastColumn="0" w:lastRow="0" w:noHBand="0" w:noVBand="1" w:val="04A0"/>
      </w:tblPr>
      <w:tblGrid>
        <w:gridCol w:w="3061"/>
        <w:gridCol w:w="3061"/>
        <w:gridCol w:w="3061"/>
      </w:tblGrid>
      <w:tr>
        <w:tc>
          <w:tcPr>
            <w:tcW w:type="dxa" w:w="3061"/>
            <w:tcBorders>
              <w:bottom w:val="single" w:sz="8" w:color="000000"/>
            </w:tcBorders>
          </w:tcPr>
          <w:p>
            <w:pPr>
              <w:spacing w:after="60"/>
            </w:pPr>
            <w:r>
              <w:rPr>
                <w:rFonts w:ascii="Arial" w:hAnsi="Arial"/>
                <w:b/>
                <w:color w:val="000000"/>
                <w:sz w:val="19"/>
              </w:rPr>
              <w:t>Concern</w:t>
            </w:r>
          </w:p>
        </w:tc>
        <w:tc>
          <w:tcPr>
            <w:tcW w:type="dxa" w:w="3061"/>
            <w:tcBorders>
              <w:bottom w:val="single" w:sz="8" w:color="000000"/>
            </w:tcBorders>
          </w:tcPr>
          <w:p>
            <w:pPr>
              <w:spacing w:after="60"/>
            </w:pPr>
            <w:r>
              <w:rPr>
                <w:rFonts w:ascii="Arial" w:hAnsi="Arial"/>
                <w:b/>
                <w:color w:val="000000"/>
                <w:sz w:val="19"/>
              </w:rPr>
              <w:t>Choice</w:t>
            </w:r>
          </w:p>
        </w:tc>
        <w:tc>
          <w:tcPr>
            <w:tcW w:type="dxa" w:w="3061"/>
            <w:tcBorders>
              <w:bottom w:val="single" w:sz="8" w:color="000000"/>
            </w:tcBorders>
          </w:tcPr>
          <w:p>
            <w:pPr>
              <w:spacing w:after="60"/>
            </w:pPr>
            <w:r>
              <w:rPr>
                <w:rFonts w:ascii="Arial" w:hAnsi="Arial"/>
                <w:b/>
                <w:color w:val="000000"/>
                <w:sz w:val="19"/>
              </w:rPr>
              <w:t>Rationale</w:t>
            </w:r>
          </w:p>
        </w:tc>
      </w:tr>
      <w:tr>
        <w:tc>
          <w:tcPr>
            <w:tcW w:type="dxa" w:w="3061"/>
            <w:tcBorders>
              <w:bottom w:val="single" w:sz="4" w:color="D9D9D9"/>
            </w:tcBorders>
          </w:tcPr>
          <w:p>
            <w:pPr>
              <w:spacing w:after="60"/>
            </w:pPr>
            <w:r>
              <w:rPr>
                <w:rFonts w:ascii="Arial" w:hAnsi="Arial"/>
                <w:b w:val="0"/>
                <w:color w:val="000000"/>
                <w:sz w:val="19"/>
              </w:rPr>
              <w:t>Orchestration</w:t>
            </w:r>
          </w:p>
        </w:tc>
        <w:tc>
          <w:tcPr>
            <w:tcW w:type="dxa" w:w="3061"/>
            <w:tcBorders>
              <w:bottom w:val="single" w:sz="4" w:color="D9D9D9"/>
            </w:tcBorders>
          </w:tcPr>
          <w:p>
            <w:pPr>
              <w:spacing w:after="60"/>
            </w:pPr>
            <w:r>
              <w:rPr>
                <w:rFonts w:ascii="Arial" w:hAnsi="Arial"/>
                <w:b w:val="0"/>
                <w:color w:val="000000"/>
                <w:sz w:val="19"/>
              </w:rPr>
              <w:t>Apache Airflow</w:t>
            </w:r>
          </w:p>
        </w:tc>
        <w:tc>
          <w:tcPr>
            <w:tcW w:type="dxa" w:w="3061"/>
            <w:tcBorders>
              <w:bottom w:val="single" w:sz="4" w:color="D9D9D9"/>
            </w:tcBorders>
          </w:tcPr>
          <w:p>
            <w:pPr>
              <w:spacing w:after="60"/>
            </w:pPr>
            <w:r>
              <w:rPr>
                <w:rFonts w:ascii="Arial" w:hAnsi="Arial"/>
                <w:b w:val="0"/>
                <w:color w:val="000000"/>
                <w:sz w:val="19"/>
              </w:rPr>
              <w:t>Declarative, observable pipelines for data + retraining</w:t>
            </w:r>
          </w:p>
        </w:tc>
      </w:tr>
      <w:tr>
        <w:tc>
          <w:tcPr>
            <w:tcW w:type="dxa" w:w="3061"/>
            <w:tcBorders>
              <w:bottom w:val="single" w:sz="4" w:color="D9D9D9"/>
            </w:tcBorders>
          </w:tcPr>
          <w:p>
            <w:pPr>
              <w:spacing w:after="60"/>
            </w:pPr>
            <w:r>
              <w:rPr>
                <w:rFonts w:ascii="Arial" w:hAnsi="Arial"/>
                <w:b w:val="0"/>
                <w:color w:val="000000"/>
                <w:sz w:val="19"/>
              </w:rPr>
              <w:t>Model</w:t>
            </w:r>
          </w:p>
        </w:tc>
        <w:tc>
          <w:tcPr>
            <w:tcW w:type="dxa" w:w="3061"/>
            <w:tcBorders>
              <w:bottom w:val="single" w:sz="4" w:color="D9D9D9"/>
            </w:tcBorders>
          </w:tcPr>
          <w:p>
            <w:pPr>
              <w:spacing w:after="60"/>
            </w:pPr>
            <w:r>
              <w:rPr>
                <w:rFonts w:ascii="Arial" w:hAnsi="Arial"/>
                <w:b w:val="0"/>
                <w:color w:val="000000"/>
                <w:sz w:val="19"/>
              </w:rPr>
              <w:t>PyTorch / torchvision ResNet18</w:t>
            </w:r>
          </w:p>
        </w:tc>
        <w:tc>
          <w:tcPr>
            <w:tcW w:type="dxa" w:w="3061"/>
            <w:tcBorders>
              <w:bottom w:val="single" w:sz="4" w:color="D9D9D9"/>
            </w:tcBorders>
          </w:tcPr>
          <w:p>
            <w:pPr>
              <w:spacing w:after="60"/>
            </w:pPr>
            <w:r>
              <w:rPr>
                <w:rFonts w:ascii="Arial" w:hAnsi="Arial"/>
                <w:b w:val="0"/>
                <w:color w:val="000000"/>
                <w:sz w:val="19"/>
              </w:rPr>
              <w:t>Transfer learning ideal for a small dataset</w:t>
            </w:r>
          </w:p>
        </w:tc>
      </w:tr>
      <w:tr>
        <w:tc>
          <w:tcPr>
            <w:tcW w:type="dxa" w:w="3061"/>
            <w:tcBorders>
              <w:bottom w:val="single" w:sz="4" w:color="D9D9D9"/>
            </w:tcBorders>
          </w:tcPr>
          <w:p>
            <w:pPr>
              <w:spacing w:after="60"/>
            </w:pPr>
            <w:r>
              <w:rPr>
                <w:rFonts w:ascii="Arial" w:hAnsi="Arial"/>
                <w:b w:val="0"/>
                <w:color w:val="000000"/>
                <w:sz w:val="19"/>
              </w:rPr>
              <w:t>Tracking</w:t>
            </w:r>
          </w:p>
        </w:tc>
        <w:tc>
          <w:tcPr>
            <w:tcW w:type="dxa" w:w="3061"/>
            <w:tcBorders>
              <w:bottom w:val="single" w:sz="4" w:color="D9D9D9"/>
            </w:tcBorders>
          </w:tcPr>
          <w:p>
            <w:pPr>
              <w:spacing w:after="60"/>
            </w:pPr>
            <w:r>
              <w:rPr>
                <w:rFonts w:ascii="Arial" w:hAnsi="Arial"/>
                <w:b w:val="0"/>
                <w:color w:val="000000"/>
                <w:sz w:val="19"/>
              </w:rPr>
              <w:t>MLflow</w:t>
            </w:r>
          </w:p>
        </w:tc>
        <w:tc>
          <w:tcPr>
            <w:tcW w:type="dxa" w:w="3061"/>
            <w:tcBorders>
              <w:bottom w:val="single" w:sz="4" w:color="D9D9D9"/>
            </w:tcBorders>
          </w:tcPr>
          <w:p>
            <w:pPr>
              <w:spacing w:after="60"/>
            </w:pPr>
            <w:r>
              <w:rPr>
                <w:rFonts w:ascii="Arial" w:hAnsi="Arial"/>
                <w:b w:val="0"/>
                <w:color w:val="000000"/>
                <w:sz w:val="19"/>
              </w:rPr>
              <w:t>Standard experiment tracking + model registry semantics</w:t>
            </w:r>
          </w:p>
        </w:tc>
      </w:tr>
      <w:tr>
        <w:tc>
          <w:tcPr>
            <w:tcW w:type="dxa" w:w="3061"/>
            <w:tcBorders>
              <w:bottom w:val="single" w:sz="4" w:color="D9D9D9"/>
            </w:tcBorders>
          </w:tcPr>
          <w:p>
            <w:pPr>
              <w:spacing w:after="60"/>
            </w:pPr>
            <w:r>
              <w:rPr>
                <w:rFonts w:ascii="Arial" w:hAnsi="Arial"/>
                <w:b w:val="0"/>
                <w:color w:val="000000"/>
                <w:sz w:val="19"/>
              </w:rPr>
              <w:t>Storage</w:t>
            </w:r>
          </w:p>
        </w:tc>
        <w:tc>
          <w:tcPr>
            <w:tcW w:type="dxa" w:w="3061"/>
            <w:tcBorders>
              <w:bottom w:val="single" w:sz="4" w:color="D9D9D9"/>
            </w:tcBorders>
          </w:tcPr>
          <w:p>
            <w:pPr>
              <w:spacing w:after="60"/>
            </w:pPr>
            <w:r>
              <w:rPr>
                <w:rFonts w:ascii="Arial" w:hAnsi="Arial"/>
                <w:b w:val="0"/>
                <w:color w:val="000000"/>
                <w:sz w:val="19"/>
              </w:rPr>
              <w:t>MinIO (S3 API)</w:t>
            </w:r>
          </w:p>
        </w:tc>
        <w:tc>
          <w:tcPr>
            <w:tcW w:type="dxa" w:w="3061"/>
            <w:tcBorders>
              <w:bottom w:val="single" w:sz="4" w:color="D9D9D9"/>
            </w:tcBorders>
          </w:tcPr>
          <w:p>
            <w:pPr>
              <w:spacing w:after="60"/>
            </w:pPr>
            <w:r>
              <w:rPr>
                <w:rFonts w:ascii="Arial" w:hAnsi="Arial"/>
                <w:b w:val="0"/>
                <w:color w:val="000000"/>
                <w:sz w:val="19"/>
              </w:rPr>
              <w:t>Reproducible artifact/data store, cloud-portable</w:t>
            </w:r>
          </w:p>
        </w:tc>
      </w:tr>
      <w:tr>
        <w:tc>
          <w:tcPr>
            <w:tcW w:type="dxa" w:w="3061"/>
            <w:tcBorders>
              <w:bottom w:val="single" w:sz="4" w:color="D9D9D9"/>
            </w:tcBorders>
          </w:tcPr>
          <w:p>
            <w:pPr>
              <w:spacing w:after="60"/>
            </w:pPr>
            <w:r>
              <w:rPr>
                <w:rFonts w:ascii="Arial" w:hAnsi="Arial"/>
                <w:b w:val="0"/>
                <w:color w:val="000000"/>
                <w:sz w:val="19"/>
              </w:rPr>
              <w:t>Serving</w:t>
            </w:r>
          </w:p>
        </w:tc>
        <w:tc>
          <w:tcPr>
            <w:tcW w:type="dxa" w:w="3061"/>
            <w:tcBorders>
              <w:bottom w:val="single" w:sz="4" w:color="D9D9D9"/>
            </w:tcBorders>
          </w:tcPr>
          <w:p>
            <w:pPr>
              <w:spacing w:after="60"/>
            </w:pPr>
            <w:r>
              <w:rPr>
                <w:rFonts w:ascii="Arial" w:hAnsi="Arial"/>
                <w:b w:val="0"/>
                <w:color w:val="000000"/>
                <w:sz w:val="19"/>
              </w:rPr>
              <w:t>FastAPI + Streamlit</w:t>
            </w:r>
          </w:p>
        </w:tc>
        <w:tc>
          <w:tcPr>
            <w:tcW w:type="dxa" w:w="3061"/>
            <w:tcBorders>
              <w:bottom w:val="single" w:sz="4" w:color="D9D9D9"/>
            </w:tcBorders>
          </w:tcPr>
          <w:p>
            <w:pPr>
              <w:spacing w:after="60"/>
            </w:pPr>
            <w:r>
              <w:rPr>
                <w:rFonts w:ascii="Arial" w:hAnsi="Arial"/>
                <w:b w:val="0"/>
                <w:color w:val="000000"/>
                <w:sz w:val="19"/>
              </w:rPr>
              <w:t>Fast async API + simple demo UI</w:t>
            </w:r>
          </w:p>
        </w:tc>
      </w:tr>
      <w:tr>
        <w:tc>
          <w:tcPr>
            <w:tcW w:type="dxa" w:w="3061"/>
            <w:tcBorders>
              <w:bottom w:val="single" w:sz="4" w:color="D9D9D9"/>
            </w:tcBorders>
          </w:tcPr>
          <w:p>
            <w:pPr>
              <w:spacing w:after="60"/>
            </w:pPr>
            <w:r>
              <w:rPr>
                <w:rFonts w:ascii="Arial" w:hAnsi="Arial"/>
                <w:b w:val="0"/>
                <w:color w:val="000000"/>
                <w:sz w:val="19"/>
              </w:rPr>
              <w:t>Packaging</w:t>
            </w:r>
          </w:p>
        </w:tc>
        <w:tc>
          <w:tcPr>
            <w:tcW w:type="dxa" w:w="3061"/>
            <w:tcBorders>
              <w:bottom w:val="single" w:sz="4" w:color="D9D9D9"/>
            </w:tcBorders>
          </w:tcPr>
          <w:p>
            <w:pPr>
              <w:spacing w:after="60"/>
            </w:pPr>
            <w:r>
              <w:rPr>
                <w:rFonts w:ascii="Arial" w:hAnsi="Arial"/>
                <w:b w:val="0"/>
                <w:color w:val="000000"/>
                <w:sz w:val="19"/>
              </w:rPr>
              <w:t>Docker / Docker Compose / Kubernetes</w:t>
            </w:r>
          </w:p>
        </w:tc>
        <w:tc>
          <w:tcPr>
            <w:tcW w:type="dxa" w:w="3061"/>
            <w:tcBorders>
              <w:bottom w:val="single" w:sz="4" w:color="D9D9D9"/>
            </w:tcBorders>
          </w:tcPr>
          <w:p>
            <w:pPr>
              <w:spacing w:after="60"/>
            </w:pPr>
            <w:r>
              <w:rPr>
                <w:rFonts w:ascii="Arial" w:hAnsi="Arial"/>
                <w:b w:val="0"/>
                <w:color w:val="000000"/>
                <w:sz w:val="19"/>
              </w:rPr>
              <w:t>Identical local and cluster runtime</w:t>
            </w:r>
          </w:p>
        </w:tc>
      </w:tr>
      <w:tr>
        <w:tc>
          <w:tcPr>
            <w:tcW w:type="dxa" w:w="3061"/>
            <w:tcBorders>
              <w:bottom w:val="single" w:sz="4" w:color="D9D9D9"/>
            </w:tcBorders>
          </w:tcPr>
          <w:p>
            <w:pPr>
              <w:spacing w:after="60"/>
            </w:pPr>
            <w:r>
              <w:rPr>
                <w:rFonts w:ascii="Arial" w:hAnsi="Arial"/>
                <w:b w:val="0"/>
                <w:color w:val="000000"/>
                <w:sz w:val="19"/>
              </w:rPr>
              <w:t>CI/CD</w:t>
            </w:r>
          </w:p>
        </w:tc>
        <w:tc>
          <w:tcPr>
            <w:tcW w:type="dxa" w:w="3061"/>
            <w:tcBorders>
              <w:bottom w:val="single" w:sz="4" w:color="D9D9D9"/>
            </w:tcBorders>
          </w:tcPr>
          <w:p>
            <w:pPr>
              <w:spacing w:after="60"/>
            </w:pPr>
            <w:r>
              <w:rPr>
                <w:rFonts w:ascii="Arial" w:hAnsi="Arial"/>
                <w:b w:val="0"/>
                <w:color w:val="000000"/>
                <w:sz w:val="19"/>
              </w:rPr>
              <w:t>GitHub Actions</w:t>
            </w:r>
          </w:p>
        </w:tc>
        <w:tc>
          <w:tcPr>
            <w:tcW w:type="dxa" w:w="3061"/>
            <w:tcBorders>
              <w:bottom w:val="single" w:sz="4" w:color="D9D9D9"/>
            </w:tcBorders>
          </w:tcPr>
          <w:p>
            <w:pPr>
              <w:spacing w:after="60"/>
            </w:pPr>
            <w:r>
              <w:rPr>
                <w:rFonts w:ascii="Arial" w:hAnsi="Arial"/>
                <w:b w:val="0"/>
                <w:color w:val="000000"/>
                <w:sz w:val="19"/>
              </w:rPr>
              <w:t>Native to the repository host, free for public repos</w:t>
            </w:r>
          </w:p>
        </w:tc>
      </w:tr>
      <w:tr>
        <w:tc>
          <w:tcPr>
            <w:tcW w:type="dxa" w:w="3061"/>
            <w:tcBorders>
              <w:bottom w:val="single" w:sz="4" w:color="D9D9D9"/>
            </w:tcBorders>
          </w:tcPr>
          <w:p>
            <w:pPr>
              <w:spacing w:after="60"/>
            </w:pPr>
            <w:r>
              <w:rPr>
                <w:rFonts w:ascii="Arial" w:hAnsi="Arial"/>
                <w:b w:val="0"/>
                <w:color w:val="000000"/>
                <w:sz w:val="19"/>
              </w:rPr>
              <w:t>Monitoring</w:t>
            </w:r>
          </w:p>
        </w:tc>
        <w:tc>
          <w:tcPr>
            <w:tcW w:type="dxa" w:w="3061"/>
            <w:tcBorders>
              <w:bottom w:val="single" w:sz="4" w:color="D9D9D9"/>
            </w:tcBorders>
          </w:tcPr>
          <w:p>
            <w:pPr>
              <w:spacing w:after="60"/>
            </w:pPr>
            <w:r>
              <w:rPr>
                <w:rFonts w:ascii="Arial" w:hAnsi="Arial"/>
                <w:b w:val="0"/>
                <w:color w:val="000000"/>
                <w:sz w:val="19"/>
              </w:rPr>
              <w:t>Prometheus + Grafana + Evidently</w:t>
            </w:r>
          </w:p>
        </w:tc>
        <w:tc>
          <w:tcPr>
            <w:tcW w:type="dxa" w:w="3061"/>
            <w:tcBorders>
              <w:bottom w:val="single" w:sz="4" w:color="D9D9D9"/>
            </w:tcBorders>
          </w:tcPr>
          <w:p>
            <w:pPr>
              <w:spacing w:after="60"/>
            </w:pPr>
            <w:r>
              <w:rPr>
                <w:rFonts w:ascii="Arial" w:hAnsi="Arial"/>
                <w:b w:val="0"/>
                <w:color w:val="000000"/>
                <w:sz w:val="19"/>
              </w:rPr>
              <w:t>Operational + drift observability</w:t>
            </w:r>
          </w:p>
        </w:tc>
      </w:tr>
    </w:tbl>
    <w:p>
      <w:pPr>
        <w:spacing w:after="40"/>
      </w:pPr>
    </w:p>
    <w:p>
      <w:r>
        <w:rPr>
          <w:rFonts w:ascii="Arial" w:hAnsi="Arial"/>
          <w:b w:val="0"/>
          <w:color w:val="000000"/>
          <w:sz w:val="21"/>
        </w:rPr>
        <w:t>A full architecture diagram and component walkthrough are in the slide deck and `README.md`.</w:t>
      </w:r>
    </w:p>
    <w:p>
      <w:pPr>
        <w:spacing w:before="360" w:after="40"/>
      </w:pPr>
      <w:r>
        <w:rPr>
          <w:rFonts w:ascii="Arial" w:hAnsi="Arial"/>
          <w:b/>
          <w:color w:val="4D4D4D"/>
          <w:sz w:val="16"/>
        </w:rPr>
        <w:t>SECTION 11</w:t>
      </w:r>
    </w:p>
    <w:p>
      <w:pPr>
        <w:spacing w:after="160"/>
        <w:pBdr>
          <w:bottom w:val="single" w:sz="6" w:color="B3B3B3"/>
        </w:pBdr>
      </w:pPr>
      <w:r>
        <w:rPr>
          <w:rFonts w:ascii="Georgia" w:hAnsi="Georgia"/>
          <w:b/>
          <w:color w:val="000000"/>
          <w:sz w:val="34"/>
        </w:rPr>
        <w:t>Risks &amp; Mitigations</w:t>
      </w:r>
    </w:p>
    <w:tbl>
      <w:tblPr>
        <w:tblW w:type="auto" w:w="0"/>
        <w:tblLayout w:type="autofit"/>
        <w:tblLook w:firstColumn="1" w:firstRow="1" w:lastColumn="0" w:lastRow="0" w:noHBand="0" w:noVBand="1" w:val="04A0"/>
      </w:tblPr>
      <w:tblGrid>
        <w:gridCol w:w="3061"/>
        <w:gridCol w:w="3061"/>
        <w:gridCol w:w="3061"/>
      </w:tblGrid>
      <w:tr>
        <w:tc>
          <w:tcPr>
            <w:tcW w:type="dxa" w:w="3061"/>
            <w:tcBorders>
              <w:bottom w:val="single" w:sz="8" w:color="000000"/>
            </w:tcBorders>
          </w:tcPr>
          <w:p>
            <w:pPr>
              <w:spacing w:after="60"/>
            </w:pPr>
            <w:r>
              <w:rPr>
                <w:rFonts w:ascii="Arial" w:hAnsi="Arial"/>
                <w:b/>
                <w:color w:val="000000"/>
                <w:sz w:val="19"/>
              </w:rPr>
              <w:t>Risk</w:t>
            </w:r>
          </w:p>
        </w:tc>
        <w:tc>
          <w:tcPr>
            <w:tcW w:type="dxa" w:w="3061"/>
            <w:tcBorders>
              <w:bottom w:val="single" w:sz="8" w:color="000000"/>
            </w:tcBorders>
          </w:tcPr>
          <w:p>
            <w:pPr>
              <w:spacing w:after="60"/>
            </w:pPr>
            <w:r>
              <w:rPr>
                <w:rFonts w:ascii="Arial" w:hAnsi="Arial"/>
                <w:b/>
                <w:color w:val="000000"/>
                <w:sz w:val="19"/>
              </w:rPr>
              <w:t>Impact</w:t>
            </w:r>
          </w:p>
        </w:tc>
        <w:tc>
          <w:tcPr>
            <w:tcW w:type="dxa" w:w="3061"/>
            <w:tcBorders>
              <w:bottom w:val="single" w:sz="8" w:color="000000"/>
            </w:tcBorders>
          </w:tcPr>
          <w:p>
            <w:pPr>
              <w:spacing w:after="60"/>
            </w:pPr>
            <w:r>
              <w:rPr>
                <w:rFonts w:ascii="Arial" w:hAnsi="Arial"/>
                <w:b/>
                <w:color w:val="000000"/>
                <w:sz w:val="19"/>
              </w:rPr>
              <w:t>Mitigation</w:t>
            </w:r>
          </w:p>
        </w:tc>
      </w:tr>
      <w:tr>
        <w:tc>
          <w:tcPr>
            <w:tcW w:type="dxa" w:w="3061"/>
            <w:tcBorders>
              <w:bottom w:val="single" w:sz="4" w:color="D9D9D9"/>
            </w:tcBorders>
          </w:tcPr>
          <w:p>
            <w:pPr>
              <w:spacing w:after="60"/>
            </w:pPr>
            <w:r>
              <w:rPr>
                <w:rFonts w:ascii="Arial" w:hAnsi="Arial"/>
                <w:b w:val="0"/>
                <w:color w:val="000000"/>
                <w:sz w:val="19"/>
              </w:rPr>
              <w:t>Small dataset → overfitting</w:t>
            </w:r>
          </w:p>
        </w:tc>
        <w:tc>
          <w:tcPr>
            <w:tcW w:type="dxa" w:w="3061"/>
            <w:tcBorders>
              <w:bottom w:val="single" w:sz="4" w:color="D9D9D9"/>
            </w:tcBorders>
          </w:tcPr>
          <w:p>
            <w:pPr>
              <w:spacing w:after="60"/>
            </w:pPr>
            <w:r>
              <w:rPr>
                <w:rFonts w:ascii="Arial" w:hAnsi="Arial"/>
                <w:b w:val="0"/>
                <w:color w:val="000000"/>
                <w:sz w:val="19"/>
              </w:rPr>
              <w:t>Lower real-world accuracy</w:t>
            </w:r>
          </w:p>
        </w:tc>
        <w:tc>
          <w:tcPr>
            <w:tcW w:type="dxa" w:w="3061"/>
            <w:tcBorders>
              <w:bottom w:val="single" w:sz="4" w:color="D9D9D9"/>
            </w:tcBorders>
          </w:tcPr>
          <w:p>
            <w:pPr>
              <w:spacing w:after="60"/>
            </w:pPr>
            <w:r>
              <w:rPr>
                <w:rFonts w:ascii="Arial" w:hAnsi="Arial"/>
                <w:b w:val="0"/>
                <w:color w:val="000000"/>
                <w:sz w:val="19"/>
              </w:rPr>
              <w:t>Transfer learning + augmentation + validation gating</w:t>
            </w:r>
          </w:p>
        </w:tc>
      </w:tr>
      <w:tr>
        <w:tc>
          <w:tcPr>
            <w:tcW w:type="dxa" w:w="3061"/>
            <w:tcBorders>
              <w:bottom w:val="single" w:sz="4" w:color="D9D9D9"/>
            </w:tcBorders>
          </w:tcPr>
          <w:p>
            <w:pPr>
              <w:spacing w:after="60"/>
            </w:pPr>
            <w:r>
              <w:rPr>
                <w:rFonts w:ascii="Arial" w:hAnsi="Arial"/>
                <w:b w:val="0"/>
                <w:color w:val="000000"/>
                <w:sz w:val="19"/>
              </w:rPr>
              <w:t>Data/concept drift</w:t>
            </w:r>
          </w:p>
        </w:tc>
        <w:tc>
          <w:tcPr>
            <w:tcW w:type="dxa" w:w="3061"/>
            <w:tcBorders>
              <w:bottom w:val="single" w:sz="4" w:color="D9D9D9"/>
            </w:tcBorders>
          </w:tcPr>
          <w:p>
            <w:pPr>
              <w:spacing w:after="60"/>
            </w:pPr>
            <w:r>
              <w:rPr>
                <w:rFonts w:ascii="Arial" w:hAnsi="Arial"/>
                <w:b w:val="0"/>
                <w:color w:val="000000"/>
                <w:sz w:val="19"/>
              </w:rPr>
              <w:t>Silent accuracy decay</w:t>
            </w:r>
          </w:p>
        </w:tc>
        <w:tc>
          <w:tcPr>
            <w:tcW w:type="dxa" w:w="3061"/>
            <w:tcBorders>
              <w:bottom w:val="single" w:sz="4" w:color="D9D9D9"/>
            </w:tcBorders>
          </w:tcPr>
          <w:p>
            <w:pPr>
              <w:spacing w:after="60"/>
            </w:pPr>
            <w:r>
              <w:rPr>
                <w:rFonts w:ascii="Arial" w:hAnsi="Arial"/>
                <w:b w:val="0"/>
                <w:color w:val="000000"/>
                <w:sz w:val="19"/>
              </w:rPr>
              <w:t>Drift monitoring + drift-triggered retraining</w:t>
            </w:r>
          </w:p>
        </w:tc>
      </w:tr>
      <w:tr>
        <w:tc>
          <w:tcPr>
            <w:tcW w:type="dxa" w:w="3061"/>
            <w:tcBorders>
              <w:bottom w:val="single" w:sz="4" w:color="D9D9D9"/>
            </w:tcBorders>
          </w:tcPr>
          <w:p>
            <w:pPr>
              <w:spacing w:after="60"/>
            </w:pPr>
            <w:r>
              <w:rPr>
                <w:rFonts w:ascii="Arial" w:hAnsi="Arial"/>
                <w:b w:val="0"/>
                <w:color w:val="000000"/>
                <w:sz w:val="19"/>
              </w:rPr>
              <w:t>Model unavailable at startup</w:t>
            </w:r>
          </w:p>
        </w:tc>
        <w:tc>
          <w:tcPr>
            <w:tcW w:type="dxa" w:w="3061"/>
            <w:tcBorders>
              <w:bottom w:val="single" w:sz="4" w:color="D9D9D9"/>
            </w:tcBorders>
          </w:tcPr>
          <w:p>
            <w:pPr>
              <w:spacing w:after="60"/>
            </w:pPr>
            <w:r>
              <w:rPr>
                <w:rFonts w:ascii="Arial" w:hAnsi="Arial"/>
                <w:b w:val="0"/>
                <w:color w:val="000000"/>
                <w:sz w:val="19"/>
              </w:rPr>
              <w:t>Failed predictions</w:t>
            </w:r>
          </w:p>
        </w:tc>
        <w:tc>
          <w:tcPr>
            <w:tcW w:type="dxa" w:w="3061"/>
            <w:tcBorders>
              <w:bottom w:val="single" w:sz="4" w:color="D9D9D9"/>
            </w:tcBorders>
          </w:tcPr>
          <w:p>
            <w:pPr>
              <w:spacing w:after="60"/>
            </w:pPr>
            <w:r>
              <w:rPr>
                <w:rFonts w:ascii="Arial" w:hAnsi="Arial"/>
                <w:b w:val="0"/>
                <w:color w:val="000000"/>
                <w:sz w:val="19"/>
              </w:rPr>
              <w:t>API stays up, returns 503 until model loads</w:t>
            </w:r>
          </w:p>
        </w:tc>
      </w:tr>
      <w:tr>
        <w:tc>
          <w:tcPr>
            <w:tcW w:type="dxa" w:w="3061"/>
            <w:tcBorders>
              <w:bottom w:val="single" w:sz="4" w:color="D9D9D9"/>
            </w:tcBorders>
          </w:tcPr>
          <w:p>
            <w:pPr>
              <w:spacing w:after="60"/>
            </w:pPr>
            <w:r>
              <w:rPr>
                <w:rFonts w:ascii="Arial" w:hAnsi="Arial"/>
                <w:b w:val="0"/>
                <w:color w:val="000000"/>
                <w:sz w:val="19"/>
              </w:rPr>
              <w:t>Dependency conflicts (Airflow vs Evidently)</w:t>
            </w:r>
          </w:p>
        </w:tc>
        <w:tc>
          <w:tcPr>
            <w:tcW w:type="dxa" w:w="3061"/>
            <w:tcBorders>
              <w:bottom w:val="single" w:sz="4" w:color="D9D9D9"/>
            </w:tcBorders>
          </w:tcPr>
          <w:p>
            <w:pPr>
              <w:spacing w:after="60"/>
            </w:pPr>
            <w:r>
              <w:rPr>
                <w:rFonts w:ascii="Arial" w:hAnsi="Arial"/>
                <w:b w:val="0"/>
                <w:color w:val="000000"/>
                <w:sz w:val="19"/>
              </w:rPr>
              <w:t>Broken stack</w:t>
            </w:r>
          </w:p>
        </w:tc>
        <w:tc>
          <w:tcPr>
            <w:tcW w:type="dxa" w:w="3061"/>
            <w:tcBorders>
              <w:bottom w:val="single" w:sz="4" w:color="D9D9D9"/>
            </w:tcBorders>
          </w:tcPr>
          <w:p>
            <w:pPr>
              <w:spacing w:after="60"/>
            </w:pPr>
            <w:r>
              <w:rPr>
                <w:rFonts w:ascii="Arial" w:hAnsi="Arial"/>
                <w:b w:val="0"/>
                <w:color w:val="000000"/>
                <w:sz w:val="19"/>
              </w:rPr>
              <w:t>Evidently isolated as optional; graceful fallback</w:t>
            </w:r>
          </w:p>
        </w:tc>
      </w:tr>
      <w:tr>
        <w:tc>
          <w:tcPr>
            <w:tcW w:type="dxa" w:w="3061"/>
            <w:tcBorders>
              <w:bottom w:val="single" w:sz="4" w:color="D9D9D9"/>
            </w:tcBorders>
          </w:tcPr>
          <w:p>
            <w:pPr>
              <w:spacing w:after="60"/>
            </w:pPr>
            <w:r>
              <w:rPr>
                <w:rFonts w:ascii="Arial" w:hAnsi="Arial"/>
                <w:b w:val="0"/>
                <w:color w:val="000000"/>
                <w:sz w:val="19"/>
              </w:rPr>
              <w:t>Forced binary output on unknown input</w:t>
            </w:r>
          </w:p>
        </w:tc>
        <w:tc>
          <w:tcPr>
            <w:tcW w:type="dxa" w:w="3061"/>
            <w:tcBorders>
              <w:bottom w:val="single" w:sz="4" w:color="D9D9D9"/>
            </w:tcBorders>
          </w:tcPr>
          <w:p>
            <w:pPr>
              <w:spacing w:after="60"/>
            </w:pPr>
            <w:r>
              <w:rPr>
                <w:rFonts w:ascii="Arial" w:hAnsi="Arial"/>
                <w:b w:val="0"/>
                <w:color w:val="000000"/>
                <w:sz w:val="19"/>
              </w:rPr>
              <w:t>Misleading prediction</w:t>
            </w:r>
          </w:p>
        </w:tc>
        <w:tc>
          <w:tcPr>
            <w:tcW w:type="dxa" w:w="3061"/>
            <w:tcBorders>
              <w:bottom w:val="single" w:sz="4" w:color="D9D9D9"/>
            </w:tcBorders>
          </w:tcPr>
          <w:p>
            <w:pPr>
              <w:spacing w:after="60"/>
            </w:pPr>
            <w:r>
              <w:rPr>
                <w:rFonts w:ascii="Arial" w:hAnsi="Arial"/>
                <w:b w:val="0"/>
                <w:color w:val="000000"/>
                <w:sz w:val="19"/>
              </w:rPr>
              <w:t>Expose confidence; document out-of-scope use</w:t>
            </w:r>
          </w:p>
        </w:tc>
      </w:tr>
    </w:tbl>
    <w:p>
      <w:pPr>
        <w:spacing w:after="40"/>
      </w:pPr>
    </w:p>
    <w:p>
      <w:pPr>
        <w:spacing w:before="360" w:after="40"/>
      </w:pPr>
      <w:r>
        <w:rPr>
          <w:rFonts w:ascii="Arial" w:hAnsi="Arial"/>
          <w:b/>
          <w:color w:val="4D4D4D"/>
          <w:sz w:val="16"/>
        </w:rPr>
        <w:t>SECTION 12</w:t>
      </w:r>
    </w:p>
    <w:p>
      <w:pPr>
        <w:spacing w:after="160"/>
        <w:pBdr>
          <w:bottom w:val="single" w:sz="6" w:color="B3B3B3"/>
        </w:pBdr>
      </w:pPr>
      <w:r>
        <w:rPr>
          <w:rFonts w:ascii="Georgia" w:hAnsi="Georgia"/>
          <w:b/>
          <w:color w:val="000000"/>
          <w:sz w:val="34"/>
        </w:rPr>
        <w:t>Acceptance Criteria (Definition of Done)</w:t>
      </w:r>
    </w:p>
    <w:p>
      <w:pPr>
        <w:spacing w:after="80"/>
        <w:ind w:left="312"/>
      </w:pPr>
      <w:r>
        <w:rPr>
          <w:sz w:val="21"/>
        </w:rPr>
        <w:t xml:space="preserve">•  </w:t>
      </w:r>
      <w:r>
        <w:rPr>
          <w:rFonts w:ascii="Arial" w:hAnsi="Arial"/>
          <w:b w:val="0"/>
          <w:color w:val="000000"/>
          <w:sz w:val="21"/>
        </w:rPr>
        <w:t>All tests green in CI; image built and published; Kubernetes manifests validated. The stack deploys to a local Minikube cluster.</w:t>
      </w:r>
    </w:p>
    <w:p>
      <w:pPr>
        <w:spacing w:after="80"/>
        <w:ind w:left="312"/>
      </w:pPr>
      <w:r>
        <w:rPr>
          <w:sz w:val="21"/>
        </w:rPr>
        <w:t xml:space="preserve">•  </w:t>
      </w:r>
      <w:r>
        <w:rPr>
          <w:rFonts w:ascii="Arial" w:hAnsi="Arial"/>
          <w:b w:val="0"/>
          <w:color w:val="000000"/>
          <w:sz w:val="21"/>
        </w:rPr>
        <w:t>`POST /predict` returns a class + probabilities for a valid image; `400` on a non-image; `/health` and `/version` respond.</w:t>
      </w:r>
    </w:p>
    <w:p>
      <w:pPr>
        <w:spacing w:after="80"/>
        <w:ind w:left="312"/>
      </w:pPr>
      <w:r>
        <w:rPr>
          <w:sz w:val="21"/>
        </w:rPr>
        <w:t xml:space="preserve">•  </w:t>
      </w:r>
      <w:r>
        <w:rPr>
          <w:rFonts w:ascii="Arial" w:hAnsi="Arial"/>
          <w:b w:val="0"/>
          <w:color w:val="000000"/>
          <w:sz w:val="21"/>
        </w:rPr>
        <w:t>A training run logs metrics to MLflow and promotes a checkpoint meeting the release gate.</w:t>
      </w:r>
    </w:p>
    <w:p>
      <w:pPr>
        <w:spacing w:after="80"/>
        <w:ind w:left="312"/>
      </w:pPr>
      <w:r>
        <w:rPr>
          <w:sz w:val="21"/>
        </w:rPr>
        <w:t xml:space="preserve">•  </w:t>
      </w:r>
      <w:r>
        <w:rPr>
          <w:rFonts w:ascii="Arial" w:hAnsi="Arial"/>
          <w:b w:val="0"/>
          <w:color w:val="000000"/>
          <w:sz w:val="21"/>
        </w:rPr>
        <w:t>A drift report and Grafana drift panels render; the retrain pipeline runs.</w:t>
      </w:r>
    </w:p>
    <w:p>
      <w:pPr>
        <w:spacing w:after="80"/>
        <w:ind w:left="312"/>
      </w:pPr>
      <w:r>
        <w:rPr>
          <w:sz w:val="21"/>
        </w:rPr>
        <w:t xml:space="preserve">•  </w:t>
      </w:r>
      <w:r>
        <w:rPr>
          <w:rFonts w:ascii="Arial" w:hAnsi="Arial"/>
          <w:b w:val="0"/>
          <w:color w:val="000000"/>
          <w:sz w:val="21"/>
        </w:rPr>
        <w:t>README, model card and this specification are complete and accurate.</w:t>
      </w:r>
    </w:p>
    <w:p>
      <w:pPr>
        <w:spacing w:before="360" w:after="40"/>
      </w:pPr>
      <w:r>
        <w:rPr>
          <w:rFonts w:ascii="Arial" w:hAnsi="Arial"/>
          <w:b/>
          <w:color w:val="4D4D4D"/>
          <w:sz w:val="16"/>
        </w:rPr>
        <w:t>SECTION 13</w:t>
      </w:r>
    </w:p>
    <w:p>
      <w:pPr>
        <w:spacing w:after="160"/>
        <w:pBdr>
          <w:bottom w:val="single" w:sz="6" w:color="B3B3B3"/>
        </w:pBdr>
      </w:pPr>
      <w:r>
        <w:rPr>
          <w:rFonts w:ascii="Georgia" w:hAnsi="Georgia"/>
          <w:b/>
          <w:color w:val="000000"/>
          <w:sz w:val="34"/>
        </w:rPr>
        <w:t>Glossary</w:t>
      </w:r>
    </w:p>
    <w:p>
      <w:pPr>
        <w:spacing w:after="80"/>
        <w:ind w:left="312"/>
      </w:pPr>
      <w:r>
        <w:rPr>
          <w:sz w:val="21"/>
        </w:rPr>
        <w:t xml:space="preserve">•  </w:t>
      </w:r>
      <w:r>
        <w:rPr>
          <w:rFonts w:ascii="Arial" w:hAnsi="Arial"/>
          <w:b/>
          <w:color w:val="000000"/>
          <w:sz w:val="21"/>
        </w:rPr>
        <w:t>Drift:</w:t>
      </w:r>
      <w:r>
        <w:rPr>
          <w:rFonts w:ascii="Arial" w:hAnsi="Arial"/>
          <w:b w:val="0"/>
          <w:color w:val="000000"/>
          <w:sz w:val="21"/>
        </w:rPr>
        <w:t xml:space="preserve"> change in the input data distribution vs the model's training data.</w:t>
      </w:r>
    </w:p>
    <w:p>
      <w:pPr>
        <w:spacing w:after="80"/>
        <w:ind w:left="312"/>
      </w:pPr>
      <w:r>
        <w:rPr>
          <w:sz w:val="21"/>
        </w:rPr>
        <w:t xml:space="preserve">•  </w:t>
      </w:r>
      <w:r>
        <w:rPr>
          <w:rFonts w:ascii="Arial" w:hAnsi="Arial"/>
          <w:b/>
          <w:color w:val="000000"/>
          <w:sz w:val="21"/>
        </w:rPr>
        <w:t>PSI:</w:t>
      </w:r>
      <w:r>
        <w:rPr>
          <w:rFonts w:ascii="Arial" w:hAnsi="Arial"/>
          <w:b w:val="0"/>
          <w:color w:val="000000"/>
          <w:sz w:val="21"/>
        </w:rPr>
        <w:t xml:space="preserve"> Population Stability Index, a per-feature drift metric.</w:t>
      </w:r>
    </w:p>
    <w:p>
      <w:pPr>
        <w:spacing w:after="80"/>
        <w:ind w:left="312"/>
      </w:pPr>
      <w:r>
        <w:rPr>
          <w:sz w:val="21"/>
        </w:rPr>
        <w:t xml:space="preserve">•  </w:t>
      </w:r>
      <w:r>
        <w:rPr>
          <w:rFonts w:ascii="Arial" w:hAnsi="Arial"/>
          <w:b/>
          <w:color w:val="000000"/>
          <w:sz w:val="21"/>
        </w:rPr>
        <w:t>Transfer learning:</w:t>
      </w:r>
      <w:r>
        <w:rPr>
          <w:rFonts w:ascii="Arial" w:hAnsi="Arial"/>
          <w:b w:val="0"/>
          <w:color w:val="000000"/>
          <w:sz w:val="21"/>
        </w:rPr>
        <w:t xml:space="preserve"> fine-tuning a pretrained network on a new task.</w:t>
      </w:r>
    </w:p>
    <w:p>
      <w:pPr>
        <w:spacing w:after="80"/>
        <w:ind w:left="312"/>
      </w:pPr>
      <w:r>
        <w:rPr>
          <w:sz w:val="21"/>
        </w:rPr>
        <w:t xml:space="preserve">•  </w:t>
      </w:r>
      <w:r>
        <w:rPr>
          <w:rFonts w:ascii="Arial" w:hAnsi="Arial"/>
          <w:b/>
          <w:color w:val="000000"/>
          <w:sz w:val="21"/>
        </w:rPr>
        <w:t>IaC:</w:t>
      </w:r>
      <w:r>
        <w:rPr>
          <w:rFonts w:ascii="Arial" w:hAnsi="Arial"/>
          <w:b w:val="0"/>
          <w:color w:val="000000"/>
          <w:sz w:val="21"/>
        </w:rPr>
        <w:t xml:space="preserve"> Infrastructure as Code (here: Kubernetes manifests, Compose).</w:t>
      </w:r>
    </w:p>
    <w:sectPr w:rsidR="00FC693F" w:rsidRPr="0006063C" w:rsidSect="00034616">
      <w:footerReference w:type="default" r:id="rId10"/>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184" w:val="right"/>
      </w:tabs>
    </w:pPr>
    <w:r>
      <w:rPr>
        <w:rFonts w:ascii="Arial" w:hAnsi="Arial"/>
        <w:color w:val="4D4D4D"/>
        <w:sz w:val="16"/>
      </w:rPr>
      <w:t>GreenGuard MLOps  |  AI solution specification</w:t>
      <w:tab/>
    </w:r>
    <w:fldSimple w:instr="PAGE">
      <w:r>
        <w:rPr>
          <w:sz w:val="16"/>
        </w:rPr>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