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C481" w14:textId="7F3F32AD" w:rsidR="00023F66" w:rsidRPr="003D044C" w:rsidRDefault="003D044C" w:rsidP="003D044C">
      <w:pPr>
        <w:spacing w:after="167"/>
        <w:ind w:left="1" w:firstLine="0"/>
        <w:jc w:val="center"/>
        <w:rPr>
          <w:b/>
          <w:bCs/>
          <w:noProof/>
          <w:sz w:val="40"/>
          <w:szCs w:val="40"/>
        </w:rPr>
      </w:pPr>
      <w:r>
        <w:rPr>
          <w:b/>
          <w:bCs/>
          <w:sz w:val="32"/>
          <w:szCs w:val="32"/>
        </w:rPr>
        <w:t>PROJETO: FinStart</w:t>
      </w:r>
    </w:p>
    <w:p w14:paraId="3E676AA5" w14:textId="0BE84E18" w:rsidR="00023F66" w:rsidRPr="00AF3F54" w:rsidRDefault="00023F66" w:rsidP="00113E6A">
      <w:pPr>
        <w:spacing w:after="167"/>
        <w:ind w:left="1" w:firstLine="0"/>
        <w:jc w:val="center"/>
        <w:rPr>
          <w:noProof/>
          <w:sz w:val="32"/>
          <w:szCs w:val="32"/>
        </w:rPr>
      </w:pPr>
      <w:r w:rsidRPr="00AF3F54">
        <w:rPr>
          <w:noProof/>
          <w:sz w:val="32"/>
          <w:szCs w:val="32"/>
        </w:rPr>
        <w:drawing>
          <wp:inline distT="0" distB="0" distL="0" distR="0" wp14:anchorId="2C9913C9" wp14:editId="0798CC75">
            <wp:extent cx="3302000" cy="3302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87F" w14:textId="73542849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Curso: Ciência de Dados e IA</w:t>
      </w:r>
    </w:p>
    <w:p w14:paraId="40C5E6E5" w14:textId="06B6AEBB" w:rsidR="006C01E8" w:rsidRPr="006340A6" w:rsidRDefault="00023F66" w:rsidP="00AF3F54">
      <w:pPr>
        <w:spacing w:after="167"/>
        <w:ind w:left="1" w:firstLine="0"/>
      </w:pPr>
      <w:r>
        <w:rPr>
          <w:b/>
          <w:noProof/>
        </w:rPr>
        <w:t>Disciplina: PI: Programação Web Código: 2181161</w:t>
      </w:r>
    </w:p>
    <w:p w14:paraId="316C66EF" w14:textId="76850CD5" w:rsidR="00023F66" w:rsidRPr="006340A6" w:rsidRDefault="00023F66" w:rsidP="00AF3F54">
      <w:pPr>
        <w:spacing w:after="167"/>
        <w:ind w:left="1" w:firstLine="0"/>
      </w:pPr>
      <w:r>
        <w:rPr>
          <w:b/>
          <w:bCs/>
          <w:noProof/>
        </w:rPr>
        <w:t>Turma: 101</w:t>
      </w:r>
    </w:p>
    <w:p w14:paraId="5AE1F0F7" w14:textId="4551A2B4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Professor: Fernando Luiz de Almeida Silveira</w:t>
      </w:r>
    </w:p>
    <w:p w14:paraId="7243413F" w14:textId="4ECFAE2A" w:rsidR="006340A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noProof/>
        </w:rPr>
        <w:t xml:space="preserve"> </w:t>
      </w:r>
    </w:p>
    <w:p w14:paraId="20C53C1F" w14:textId="695B0579" w:rsidR="00023F66" w:rsidRPr="006340A6" w:rsidRDefault="003D044C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Nome do Grupo: FinStart</w:t>
      </w:r>
    </w:p>
    <w:p w14:paraId="31CE7DBA" w14:textId="08E2974A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Gabriel Polli Perin – RA: 25007439</w:t>
      </w:r>
    </w:p>
    <w:p w14:paraId="224EDA12" w14:textId="72D43B01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Yuri Kikuchi – RA: 25007272</w:t>
      </w:r>
    </w:p>
    <w:p w14:paraId="4610B8AF" w14:textId="46FD53CA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Enzo Cayres Ferreira – RA: 25000144</w:t>
      </w:r>
    </w:p>
    <w:p w14:paraId="50B096E4" w14:textId="50D5C84E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Eduardo dos Santos Fernandez – RA: 25000693</w:t>
      </w:r>
    </w:p>
    <w:p w14:paraId="0A89EABE" w14:textId="1A01AF57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Paulo Henrique Scavariello Guimarães – RA: 25017738</w:t>
      </w:r>
    </w:p>
    <w:p w14:paraId="2430CFBF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231420D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2D78D2D9" w14:textId="5C70C249" w:rsidR="00023F66" w:rsidRDefault="00023F6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Campinas, 2º semestre de 2026</w:t>
      </w:r>
    </w:p>
    <w:p w14:paraId="49E57680" w14:textId="77777777" w:rsidR="003A1F9D" w:rsidRDefault="003A1F9D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932D711" w14:textId="77777777" w:rsidR="006C01E8" w:rsidRDefault="006C01E8" w:rsidP="00113E6A">
      <w:pPr>
        <w:spacing w:after="167"/>
        <w:ind w:left="1" w:firstLine="0"/>
        <w:jc w:val="center"/>
        <w:rPr>
          <w:noProof/>
          <w:sz w:val="28"/>
          <w:szCs w:val="28"/>
        </w:rPr>
      </w:pPr>
    </w:p>
    <w:p>
      <w:pPr>
        <w:keepNext/>
        <w:pageBreakBefore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1. Ideação do Projeto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3ª entrega: consolidação da implementação. Atualização da publicação em 29/10/2026.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é uma plataforma gratuita de educação financeira para jovens que estão começando a organizar renda, despesas e objetivos. Reúne conteúdos educativos, orçamento, projeções de juros compostos e acompanhamento de metas. O problema abordado é a dificuldade de transformar conceitos financeiros em decisões e hábitos de planejamento.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público inicialmente definido é de jovens de 16 a 30 anos e pessoas com pouco conhecimento sobre finanças. A aplicação não verifica idade nem coleta data de nascimento. A proposta mantém o eixo aprender, simular e planejar, sem movimentar dinheiro ou recomendar produtos financeiros individuais.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ODS 4 é a contribuição principal, pelo acesso a conhecimento e habilidades de planejamento. A relação com a ODS 8 é indireta: compreender serviços e organizar recursos pode apoiar decisões financeiras. A plataforma não comprova geração de renda, empregos ou impacto econômico mensurável.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Histórico e escopo desta revisão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primeira proposta concentrava-se no front-end e em armazenamento no navegador. Após o retorno do professor, a arquitetura foi revista para Full Stack. A segunda entrega formalizou HTML/CSS/JavaScript, Node.js/Express, API REST, MySQL e autenticação JWT. Esta revisão apresenta a implementação dessas camadas e as correções posteriores; não atribui os recursos atuais à entrega original de 01/10/2026.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versão publicada utiliza MySQL persistente na Aiven, API Node.js/Express no Render e interface na Vercel. A instância MySQL local documentada durante o desenvolvimento continua sendo uma alternativa independente. Seus dados pessoais não foram enviados ao banco online. SQLite permanece como alternativa local e de testes; a produção exige MySQL.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2. Protótipo da Solução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conjunto de telas foi ampliado para representar a jornada do MVP. Início apresenta as ferramentas; Aprender oferece leitura por assunto e nível; Orçamento organiza a renda; Juros e Comparar apresentam cenários; Metas registra objetivos; Meu painel reúne dados da conta; Sobre explica a proposta. O painel aparece no fim do menu, à direita no desktop.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identidade visual permanece preta e dourada. O menu recolhe em telas pequenas, os campos têm rótulos, o foco de teclado é visível e os gráficos possuem tabelas equivalentes. Estados vazios, avisos de erro e confirmação de operações orientam o uso.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1001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avan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0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1 — Biblioteca com filtro avançado, referências oficiais e leitura expansível. Captura da revisão de 28/10/2026.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Fluxos centrais implementados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Visitante: ler conteúdo → simular orçamento ou juros → comparar hipóteses. Conta autenticada: entrar → salvar simulação → criar ou editar meta → registrar saldo → consultar gráfico e painel. Os dados financeiros persistem no servidor; a preferência de filtro pode ficar no navegador.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1496305" cy="32399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mobile-revi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6305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2 — Biblioteca em viewport de 390 px. Teste em navegador; não representa teste em aparelho físico.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3. Planejamento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257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Prioridade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Item e critério de conclusão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e SQL: cadastro, login, logout e isolamento dos registros verificados.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Ferramentas: orçamento, projeções, comparação e metas com gravação e consulta.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Progresso: prazo, aporte mensal necessário, atualização do saldo e histórico.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Aprendizagem: 15 conteúdos com fontes, busca, categorias e três níveis.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Qualidade: testes de API, responsividade, documentação e preservação de dados.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Entrega: revisão pelo grupo, publicação e apresentação oral.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Kanban e acompanhamento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Concluído: fluxos do MVP, integração Express/API/JWT/MySQL, biblioteca ampliada, publicação HTTPS na Vercel e Render, banco na Aiven e código atualizado no GitHub. Em andamento: revisão final da entrega e apresentação. Pendentes: automação dos próximos deploys pelo GitHub, conferência visual completa em produção e envio no Canvas. O quadro anterior em docs/kanban.json registra a revisão local de 28/10; este parágrafo atualiza a situação de publicação.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quadro registra o trabalho observável desta revisão. Não há evidência suficiente para reconstruir movimentações, reuniões ou sprints anteriores; por isso, esses eventos não são apresentados como realizados. Para os próximos ciclos, cada item deve ter responsável, critério de conclusão e evidência.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Divisão prevista na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Paulo: autenticação e juros; Eduardo: dados e metas; Enzo: API; Gabriel: progresso e gráficos; Yuri: conteúdos e acompanhamento. Essa distribuição é a prevista no planejamento e precisa ser confirmada pelo grupo para a apresentação; não comprova autoria individual das alterações atuais.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4. Levantamento de Requisitos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7370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Requisito e situação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Cadastrar, autenticar e encerrar sessão: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conteúdos por assunto, categoria e nível: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Calcular e salvar orçamento 50/30/20: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Projetar juros compostos e mostrar evolução em gráfico/tabela: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RF05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Comparar cenários e salvar resultados: implementado com taxas hipotéticas.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RF06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Criar, consultar, editar e excluir metas com prazo: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RF07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Registrar progresso e calcular aporte mensal necessário: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RF08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painel e históricos exclusivos da conta: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front-end, API, regras de domínio e persistência SQL.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entradas no servidor e restringir operações ao proprietário.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Aceitar uso responsivo, teclado e leitura tabular dos gráficos.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Manter configuração privada fora do Git, com backup e instruções de execução.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Regras de negócio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orçamento distribui a renda em 50% necessidades, 30% desejos e 20% futuro como referência educativa. Valores monetários persistem em centavos inteiros. Juros usam taxa mensal constante e aportes ao fim de cada mês. A comparação converte taxas anuais hipotéticas em taxas mensais equivalentes, com os mesmos valores e prazo.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meta contém valor-alvo, saldo, prazo e data inicial. O saldo não pode ser negativo nem superar o alvo. A atualização e o registro de progresso ocorrem na mesma transação. O aporte necessário divide o valor restante pelos meses restantes, sem supor rendimento. Registros privados exigem sessão válida e pertencimento à conta.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projeções não descontam inflação, taxas ou tributos. Recuperação de senha, verificação de e-mail, produtos reais e cotações não estão implementados. A hospedagem pública HTTPS já está disponível.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5. Desenvolvimento do Projeto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Arquitetura e organização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 publicação, o navegador carrega HTML/CSS/JavaScript da Vercel e envia fetch/JSON para /api no mesmo domínio. O proxy encaminha a requisição ao Node.js 24/Express no Render; controllers acessam o MySQL da Aiven por conexão TLS. O navegador não recebe credenciais SQL. O backend mantém organização em camadas; a infraestrutura distribui frontend, aplicação e banco.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server/index.js organiza as rotas; controllers.js executa as operações; auth.js trata autenticação; mysql.js e database.js oferecem persistência; dominio.js e financas.js concentram regras de cálculo. database/ reúne os scripts SQL, tests/ reúne verificações e docs/ contém relatório e evidências. Scripts de inicialização, configuração e backup são utilitários operacionais necessários.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Modelo de dados atualizado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2785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3 — DER físico simplificado. Cada ligação representa relação 1:N; simulacao_investimento possui chave primária composta e implementa a associação entre projeção e cenário.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Tabela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Função e relacionamento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Conta; email único e senha_hash. Pai de sessões, orçamentos, metas e juros.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Sessão revogável;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Objetivo, alvo, saldo, prazo, início e status;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progresso_meta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Variação e saldo por registro; meta_id referencia metas.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juros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Plano de projeção;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categoria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Classificação dos conteúdos.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conteudo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Texto, nível, referências e data; categoria_id referencia categoria.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Cenário didático com taxa anual declarada.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simulacao_investimento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Resultado por juros_id e tipo_investimento_id; duas FKs e PK composta.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catálogo físico contém 10 tabelas, 8 chaves estrangeiras e 51 colunas. Há chaves primárias, unicidade, checks e exclusão em cascata nas relações de propriedade. O script executável é database/schema.mysql.sql; database/consultas-demonstracao.mysql.sql permite inspecionar tabelas, colunas e relacionamentos sem alterar registros.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Conciliação com o MER anterior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entidades usuario e meta usam os nomes físicos usuarios e metas. A projeção planejada como simulacao é armazenada em juros, enquanto simulacoes identifica o orçamento. As entidades categoria, conteudo, tipo_investimento, simulacao_investimento e progresso_meta foram implementadas. Sessões e orçamento complementam as oito entidades do planejamento. Novos atributos operacionais incluem prazo, status e referências do conteúdo; nascimento foi omitido por minimização de dados.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Conexão MySQL e migração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Durante o desenvolvimento, foi criada uma instância MySQL exclusiva em 127.0.0.1:3308, preservando o serviço anterior e seus dados. Essa configuração local não é o banco usado pelo endereço público. Na publicação, o backend conecta ao MySQL da Aiven com variáveis privadas e validação do certificado TLS; contas locais e online são independentes.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 migração local, um backup SQLite foi preservado e os registros foram copiados com IDs, hashes e relacionamentos conferidos. O procedimento está em scripts/configurar-mysql-local.js. Essa migração histórica não transferiu contas para a Aiven.</w:t>
      </w:r>
    </w:p>
    <w:p>
      <w:pPr>
        <w:keepNext/>
        <w:keepLines w:val="0"/>
        <w:pageBreakBefore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Rotas e segurança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706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Rotas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/api/conteudos e /api/tipos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público e cenários.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/api/calcular e /api/comparar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validados no servidor.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/api/cadastro e /api/login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 de conta e autenticação.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/api/me; POST /api/logout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atual e revogação da sessão.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/api/simulacoes e /api/juros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 e projeções por usuário.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/api/comparacoes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Comparações persistidas por conta.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/api/metas; PUT /api/metas/:id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Criação, consulta e edição de metas.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/api/metas/:id/progresso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Histórico protegido de saldo.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DELETE /api/{recurso}/:id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Exclusão autorizada dos recursos suportados.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/api/saude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 da conexão real com SQL.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Senhas usam scrypt com salt. JWT possui assinatura HS256, expiração e verificação no servidor, associado a sessão revogável. O cookie é HttpOnly e SameSite=Strict, com Secure em produção. Consultas parametrizadas e filtros por proprietário protegem os registros. A API limita corpo e tentativas de autenticação e valida entradas e origem.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Integração demonstrada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Cadastro: formulário → validação e hash → INSERT usuarios. Login: verificação da senha → sessão/JWT → cookie. Meta: formulário autenticado → UPDATE metas e INSERT progresso_meta na mesma transação → consulta do histórico → gráfico/tabela. Comparação: cálculo dos cenários → INSERT juros e resultados associados → consulta no painel.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872958" cy="32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-mysql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5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4 — Comparação salva em teste integrado com MySQL e dados fictícios. As taxas são hipóteses didáticas.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79285" cy="324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-mysql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928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5 — Meta e progresso consultados pela API em teste integrado com MySQL. Dados fictícios de demonstração.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Aplicação das boas práticas das aulas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Foram confrontados os 15 PDFs fornecidos, totalizando 312 páginas, com o código e os critérios da atividade. Os princípios aplicáveis foram incorporados sem tratar exemplos didáticos como requisitos obrigatórios de infraestrutura.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Aulas e foco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Aplicação verificada / decisão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01 — problema, público e ODS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Público de 16–30 anos, educação gratuita, ODS 4 principal e contribuição indireta à ODS 8; sem promessa de renda.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02 — ciclo, Scrum e Kanban (32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Backlog por prioridade, definição de concluído, quadro e registro datado da revisão. Reuniões anteriores não comprovadas não são declaradas.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03 — UI/UX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Jornada completa, identidade preto/dourado, estados vazios, feedback, prevenção de exclusão acidental e navegação consistente.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04 — arquitetura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Monólito em camadas, Express/API/controllers/adaptadores SQL; decisões e diferenças documentadas.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05 — Git e organização (18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Código formatado, README operacional, dependências fixadas, diretórios de servidor/SQL/testes/docs e .gitignore de dados privados.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06 — HTML e SEO (28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HTML5, idioma, UTF-8, viewport, títulos e descrições; conta marcada noindex; landmarks e texto alternativo.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07 — semântica textual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Hierarquia h1/h2/h3, parágrafos e conteúdos por nível com referências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08 — listas e tabelas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Menu em lista; tabela de dados junto dos gráficos, caption, thead/tbody e cabeçalhos scope. Não se usa tabela para layout do site.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09 — formulários (15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Labels, required, tipos, limites, agrupamento em fieldset no comparativo; credenciais em POST; validação no servidor.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 — CSS (19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Estilo externo, variáveis, fonte de sistema, foco visível e contraste; remoção do CSS inline do orçamento.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 — layout e responsividade (23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Grid/Flex, controles de toque, menu mobile, tabelas com área de rolagem. Novos componentes com base mobile e expansão por min-width.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 — JavaScript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Módulos, const/let, funções reutilizáveis, conversão numérica explícita, regras de domínio e limites verificados.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13 — DOM e eventos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addEventListener, preventDefault, input/change, DOM com textContent, aria-invalid e avisos de operação.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14 — Storage (11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sessionStorage somente para preferências de categoria e nível; contas, metas e simulações no SQL.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— JWT (21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JWT real assinado/expirado/verificado no servidor e sessão revogável. Cookie HttpOnly; o exemplo didático de token simulado em Storage não é usado como segurança.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Biblioteca e referências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biblioteca reúne 15 resumos: cinco básicos, cinco intermediários e cinco avançados, distribuídos por 13 categorias. Inclui orçamento, reserva, inflação, crédito, diversificação, metas, segurança, renda fixa, custos e riscos. Cada artigo identifica as fontes oficiais e a data de consulta; busca textual e filtros podem ser combinados.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6. Testes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revisão local de 28/10 registrou dez testes aprovados e integração MySQL separada. Na preparação de produção, a suíte registrou 11 testes aprovados e um teste MySQL opcional ignorado. Em 29/10, scripts/verificar-online.mjs foi executado contra o domínio público da Vercel, exercitando proxy, API e MySQL reais com contas fictícias. Os resultados abaixo distinguem a verificação local das evidências online; não constituem auditoria completa de segurança.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5783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Verificação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Resultado e alcance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Autenticação e autorização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Cadastro/login/logout, JWT e isolamento entre contas aprovados.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CRUD e persistência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Orçamento, juros, metas e comparações; leitura após reabertura aprovada.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Transações MySQL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Rollback e relacionamentos/cascatas comprovados no teste isolado.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e validação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Aportes ao fim do mês, taxa zero, limites e entradas inválidas verificados.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 e formulários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JSON inválido, tamanho, origem e UTF-8; envio de credenciais protegido.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Migração local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Todos os campos originais comparados antes do commit; SQLite preservado.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Responsividade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Oito páginas verificadas em 320, 390, 768 e 1280 px na revisão; biblioteca ampliada reconferida nessas larguras.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conteúdos, cinco por nível, fontes HTTPS, busca, filtros e estado vazio verificados.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Casos para reprodução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Juros: R$ 1.000 iniciais, R$ 200 ao fim de cada mês, taxa de 0,5% mensal e 24 meses resultam em R$ 6.213,55; o valor investido é R$ 5.800 e os juros, R$ 413,55. Meta: alvo de R$ 6.000 em 12 meses e saldo inicial de R$ 1.500 indicam 25% e aporte de R$ 375, enquanto restarem 12 meses.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Consultar docs/evidencias/testes.json, mysql.json, endpoints.json, banco.json e biblioteca-breakpoints.json. As evidências SQLite documentam os testes dessa alternativa; mysql.json documenta o esquema MySQL. As capturas com dados fictícios demonstram o sistema em execução. Não foram realizados testes em aparelho físico ou uma auditoria completa com leitores de tela.</w:t>
      </w:r>
    </w:p>
    <w:p>
      <w:pPr>
        <w:spacing w:after="120"/>
      </w:pPr>
      <w:r>
        <w:rPr>
          <w:rFonts w:ascii="Arial" w:hAnsi="Arial"/>
          <w:sz w:val="24"/>
        </w:rPr>
        <w:t>Verificação da publicação em 29/10/2026</w:t>
      </w:r>
    </w:p>
    <w:p>
      <w:pPr>
        <w:spacing w:after="120"/>
      </w:pPr>
      <w:r>
        <w:rPr>
          <w:rFonts w:ascii="Arial" w:hAnsi="Arial"/>
          <w:sz w:val="24"/>
        </w:rPr>
        <w:t>Passaram pelo domínio da Vercel: acesso público, conexão MySQL, cadastro, login, cookie Secure/HttpOnly/SameSite=Strict, cálculo de juros, gravação e consulta de orçamento/juros/metas, atualização e histórico de progresso, comparação e histórico, conteúdos, isolamento entre duas contas, logout e recuperação dos dados em novo login. Os registros financeiros de teste foram excluídos; duas contas fictícias permaneceram.</w:t>
      </w:r>
    </w:p>
    <w:p>
      <w:pPr>
        <w:spacing w:after="120"/>
      </w:pPr>
      <w:r>
        <w:rPr>
          <w:rFonts w:ascii="Arial" w:hAnsi="Arial"/>
          <w:sz w:val="24"/>
        </w:rPr>
        <w:t>Os caminhos /.env, /server/index.js e /database/schema.mysql.sql retornaram 404 no frontend. No navegador, o botão de projeção exibiu saldo de R$ 6.213,55. O teste HTTP não substitui a revisão de todos os formulários no navegador. Nesta publicação, ainda não foram testados todos os fluxos visuais/mobile nem a persistência após reinício do servidor. Os testes responsivos anteriores são evidências locais.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240000" cy="768123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ros-on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6 - Projeção calculada no site público da Vercel em 29/10/2026. Evidência: docs/juros-online.png.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7. Implantação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apresentação utiliza https://finstart-publicacao.vercel.app. Basta internet e navegador; não é necessário instalar Node.js, MySQL ou abrir terminal no computador do professor. O frontend está na Vercel, a API em https://finstart-api-l60v.onrender.com e o banco persistente na Aiven. GET /api/saude pelo domínio do site confirmou banco conectado em 29/10/2026.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Vercel publica somente os arquivos selecionados por scripts/build-static.js. vercel.json define o proxy /api para o Render e cabeçalhos de segurança. O Render executa pnpm install --frozen-lockfile e node server/index.js. server/index.js usa PORT e HOST=0.0.0.0 em produção; PUBLIC_ORIGIN limita a origem aceita. A conexão TLS está em server/mysql.js e o esquema em database/schema.mysql.sql.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No Render, NODE_ENV=production, DB_DRIVER=mysql e DB_SSL=true identificam a configuração. DB_HOST, DB_PORT, DB_NAME, DB_USER, DB_PASSWORD, DB_SSL_CA e JWT_SECRET ficam nas variáveis privadas. Nenhuma senha deve ser mostrada na apresentação ou incluída no ZIP. O Workbench é opcional para inspeção autorizada do banco; abrir um arquivo SQL sozinho apenas mostra o código.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Backup e compartilhamento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GitHub e ZIP preservam código, scripts SQL, testes e documentos. Não contêm contas reais, senhas ou uma cópia dos dados em nuvem. O banco online é independente do pacote de código. Os utilitários locais de backup permanecem disponíveis; a configuração e restauração de backup externo da Aiven ainda não foram verificadas nesta publicação.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repositório oficial é https://github.com/enzocayresferreira7-pixel/finstart. O frontend foi publicado pela CLI a partir de pasta estática; a atualização automática por novos commits ainda precisa ser configurada e verificada. O plano gratuito do Render pode exigir espera no primeiro acesso após inatividade. O frontend aguarda até 90 segundos, sem repetir gravações automaticamente. Antes da apresentação, abrir o site e conferir /api/saude.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8. Manutenção / Evoluções Futuras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Evolução em relação à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protótipo anterior concentrava formulário inicial, página institucional e orçamento. A versão atual acrescenta fluxos completos de cadastro/login, biblioteca, juros, comparação, metas, progresso e gráficos. A API, autenticação e persistência passaram de planejamento para implementação integrada, mantendo a arquitetura Node.js/Express/MySQL definida na segunda entrega.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Problema observado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Correção aplicada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Telas do MVP incompletas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Oito páginas e fluxos de leitura, simulação e acompanhamento.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Banco/API/JWT apenas planejados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Controllers, consultas reais, JWT verificado e MySQL operacional.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 local sem executar módulos/API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Inicializador HTTP e bloqueio orientado de file://.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Senha aparecendo na URL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Formulários POST explícitos e proteção antes dos módulos.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sem histórico e prazo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Registro transacional, prazo e cálculo mensal necessário.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Conteúdo apenas introdutório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Biblioteca com três níveis e fontes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Kanban sem trabalho em andamento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Quadro atual datado, com critérios de conclusão e pendências reais.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Próximos passos: concluir deploy automático pelo GitHub; conferir todos os fluxos visuais e mobile em produção; testar persistência após reinício controlado da API; configurar e testar backup externo; recuperação de senha e verificação de e-mail; testes com usuários e acessibilidade assistiva; monitoramento e revisão periódica das fontes. Os cenários financeiros continuam hipotéticos.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9. Considerações Finais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mantém a proposta educativa original e apresenta integração entre interface, API e banco relacional. A consolidação está demonstrada pelos fluxos implementados, scripts SQL, modelo atualizado e verificações registradas. O grupo deve revisar o pacote e conseguir explicar os cálculos, as relações entre tabelas e os limites da versão durante a apresentação.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422"/>
      </w:tblGrid>
      <w:tr>
        <w:trPr>
          <w:cantSplit/>
          <w:tblHeader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Tópico exigido na 3ª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Localização neste documento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 Front-end implementado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2, 4 e 5; capturas das telas.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Back-end funcionando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rotas, controllers e testes.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Banco consolidado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5; DER, tabelas, FKs, SQL e conexão.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Integração real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fluxos completos e persistência.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 Evolução desde a 2ª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8; alterações, desafios e próximos passos.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 Clareza e organização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 oficial, estrutura cumulativa e evidências identificadas.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Referências documentais e técnicas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Documentos do grupo: primeira entrega original e corrigida; 2a-Entrega-FinStart; Relatorio_Parcial_1_FinStart. Materiais da disciplina: aulas 01 a 15; comentários de Fernando Luiz de Almeida Silveira; enunciado da terceira entrega; documento padrão oficial fornecido pelo professor.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Documentação técnica: Node.js (https://nodejs.org/docs/latest-v24.x/api/), Express (https://expressjs.com/), MySQL (https://dev.mysql.com/doc/refman/8.0/en/) e SQLite (https://www.sqlite.org/).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Fontes educativas: Banco Central, CVM/Portal do Investidor, IBGE e Tesouro Direto. Os endereços específicos, títulos e data de consulta estão em cada conteúdo da biblioteca e no catálogo versionado server/conteudos.js. Consulta dos conteúdos: 28/10/2026.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Pendências de entrega: revisão do documento pelo grupo, upload no Canvas e apresentação oral. Código e aplicação já estão publicados. Permanecem as verificações e melhorias descritas nas seções 6 a 8; testes finitos não garantem ausência de falhas nem substituem a avaliação do professor.</w:t>
      </w:r>
    </w:p>
    <w:sectPr w:rsidR="00317127" w:rsidRPr="00317127" w:rsidSect="00A21D2D">
      <w:headerReference w:type="default" r:id="rId8"/>
      <w:pgSz w:w="11906" w:h="16838" w:code="9"/>
      <w:pgMar w:top="1418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F723B" w14:textId="77777777" w:rsidR="00584204" w:rsidRDefault="00584204" w:rsidP="00A21D2D">
      <w:pPr>
        <w:spacing w:line="240" w:lineRule="auto"/>
      </w:pPr>
      <w:r>
        <w:separator/>
      </w:r>
    </w:p>
  </w:endnote>
  <w:endnote w:type="continuationSeparator" w:id="0">
    <w:p w14:paraId="5A531E0B" w14:textId="77777777" w:rsidR="00584204" w:rsidRDefault="00584204" w:rsidP="00A2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6E32" w14:textId="77777777" w:rsidR="00584204" w:rsidRDefault="00584204" w:rsidP="00A21D2D">
      <w:pPr>
        <w:spacing w:line="240" w:lineRule="auto"/>
      </w:pPr>
      <w:r>
        <w:separator/>
      </w:r>
    </w:p>
  </w:footnote>
  <w:footnote w:type="continuationSeparator" w:id="0">
    <w:p w14:paraId="124D7586" w14:textId="77777777" w:rsidR="00584204" w:rsidRDefault="00584204" w:rsidP="00A2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C159" w14:textId="7CF8F859" w:rsidR="00A21D2D" w:rsidRDefault="00A21D2D" w:rsidP="00A21D2D">
    <w:pPr>
      <w:pStyle w:val="Cabealho"/>
      <w:jc w:val="right"/>
    </w:pPr>
    <w:r>
      <w:rPr>
        <w:noProof/>
      </w:rPr>
      <w:drawing>
        <wp:inline distT="0" distB="0" distL="0" distR="0" wp14:anchorId="765C7653" wp14:editId="54344211">
          <wp:extent cx="899160" cy="561975"/>
          <wp:effectExtent l="0" t="0" r="0" b="0"/>
          <wp:docPr id="1132746087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6566C"/>
    <w:multiLevelType w:val="multilevel"/>
    <w:tmpl w:val="8A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AAD"/>
    <w:multiLevelType w:val="multilevel"/>
    <w:tmpl w:val="DF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1C4F92"/>
    <w:multiLevelType w:val="multilevel"/>
    <w:tmpl w:val="A93AC6D0"/>
    <w:lvl w:ilvl="0">
      <w:start w:val="1"/>
      <w:numFmt w:val="decimal"/>
      <w:pStyle w:val="Ttulo1"/>
      <w:lvlText w:val="%1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C6A51"/>
    <w:multiLevelType w:val="multilevel"/>
    <w:tmpl w:val="FB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6DB"/>
    <w:multiLevelType w:val="multilevel"/>
    <w:tmpl w:val="968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022479"/>
    <w:multiLevelType w:val="multilevel"/>
    <w:tmpl w:val="FF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375FE"/>
    <w:multiLevelType w:val="multilevel"/>
    <w:tmpl w:val="CE8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F6"/>
    <w:multiLevelType w:val="multilevel"/>
    <w:tmpl w:val="F3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5FF4"/>
    <w:multiLevelType w:val="multilevel"/>
    <w:tmpl w:val="A6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3D90"/>
    <w:multiLevelType w:val="multilevel"/>
    <w:tmpl w:val="18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7749"/>
    <w:multiLevelType w:val="multilevel"/>
    <w:tmpl w:val="0D7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82BFD"/>
    <w:multiLevelType w:val="multilevel"/>
    <w:tmpl w:val="774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5AC"/>
    <w:multiLevelType w:val="multilevel"/>
    <w:tmpl w:val="9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7FC"/>
    <w:multiLevelType w:val="multilevel"/>
    <w:tmpl w:val="93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50176"/>
    <w:multiLevelType w:val="multilevel"/>
    <w:tmpl w:val="98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50F"/>
    <w:multiLevelType w:val="multilevel"/>
    <w:tmpl w:val="37E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5A82"/>
    <w:multiLevelType w:val="multilevel"/>
    <w:tmpl w:val="0A8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493"/>
    <w:multiLevelType w:val="multilevel"/>
    <w:tmpl w:val="6F5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C69C8"/>
    <w:multiLevelType w:val="multilevel"/>
    <w:tmpl w:val="CD1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FEB"/>
    <w:multiLevelType w:val="multilevel"/>
    <w:tmpl w:val="CC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99518">
    <w:abstractNumId w:val="3"/>
  </w:num>
  <w:num w:numId="2" w16cid:durableId="1494103056">
    <w:abstractNumId w:val="8"/>
  </w:num>
  <w:num w:numId="3" w16cid:durableId="101461532">
    <w:abstractNumId w:val="0"/>
  </w:num>
  <w:num w:numId="4" w16cid:durableId="229924917">
    <w:abstractNumId w:val="10"/>
  </w:num>
  <w:num w:numId="5" w16cid:durableId="1845590725">
    <w:abstractNumId w:val="7"/>
  </w:num>
  <w:num w:numId="6" w16cid:durableId="810900338">
    <w:abstractNumId w:val="4"/>
  </w:num>
  <w:num w:numId="7" w16cid:durableId="1998605667">
    <w:abstractNumId w:val="12"/>
  </w:num>
  <w:num w:numId="8" w16cid:durableId="778338061">
    <w:abstractNumId w:val="14"/>
  </w:num>
  <w:num w:numId="9" w16cid:durableId="129515007">
    <w:abstractNumId w:val="6"/>
  </w:num>
  <w:num w:numId="10" w16cid:durableId="1906724821">
    <w:abstractNumId w:val="11"/>
  </w:num>
  <w:num w:numId="11" w16cid:durableId="255136477">
    <w:abstractNumId w:val="22"/>
  </w:num>
  <w:num w:numId="12" w16cid:durableId="1152986096">
    <w:abstractNumId w:val="18"/>
  </w:num>
  <w:num w:numId="13" w16cid:durableId="296299815">
    <w:abstractNumId w:val="21"/>
  </w:num>
  <w:num w:numId="14" w16cid:durableId="905071993">
    <w:abstractNumId w:val="23"/>
  </w:num>
  <w:num w:numId="15" w16cid:durableId="1785226214">
    <w:abstractNumId w:val="24"/>
  </w:num>
  <w:num w:numId="16" w16cid:durableId="449740515">
    <w:abstractNumId w:val="9"/>
  </w:num>
  <w:num w:numId="17" w16cid:durableId="1770155231">
    <w:abstractNumId w:val="15"/>
  </w:num>
  <w:num w:numId="18" w16cid:durableId="2024940579">
    <w:abstractNumId w:val="20"/>
  </w:num>
  <w:num w:numId="19" w16cid:durableId="116459111">
    <w:abstractNumId w:val="13"/>
  </w:num>
  <w:num w:numId="20" w16cid:durableId="317878162">
    <w:abstractNumId w:val="5"/>
  </w:num>
  <w:num w:numId="21" w16cid:durableId="347491882">
    <w:abstractNumId w:val="1"/>
  </w:num>
  <w:num w:numId="22" w16cid:durableId="874854703">
    <w:abstractNumId w:val="2"/>
  </w:num>
  <w:num w:numId="23" w16cid:durableId="838619533">
    <w:abstractNumId w:val="19"/>
  </w:num>
  <w:num w:numId="24" w16cid:durableId="2114324884">
    <w:abstractNumId w:val="17"/>
  </w:num>
  <w:num w:numId="25" w16cid:durableId="20678766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23F66"/>
    <w:rsid w:val="00037A4F"/>
    <w:rsid w:val="00076B37"/>
    <w:rsid w:val="000D1C31"/>
    <w:rsid w:val="000D2B41"/>
    <w:rsid w:val="00113E6A"/>
    <w:rsid w:val="00166D86"/>
    <w:rsid w:val="002040F2"/>
    <w:rsid w:val="00242711"/>
    <w:rsid w:val="00246560"/>
    <w:rsid w:val="00295357"/>
    <w:rsid w:val="002C4FCA"/>
    <w:rsid w:val="002D7049"/>
    <w:rsid w:val="00317127"/>
    <w:rsid w:val="00382010"/>
    <w:rsid w:val="003A1F9D"/>
    <w:rsid w:val="003D044C"/>
    <w:rsid w:val="003D6F4A"/>
    <w:rsid w:val="00442295"/>
    <w:rsid w:val="00473BA2"/>
    <w:rsid w:val="00476509"/>
    <w:rsid w:val="004D62B5"/>
    <w:rsid w:val="005432A3"/>
    <w:rsid w:val="005465C1"/>
    <w:rsid w:val="00572BCE"/>
    <w:rsid w:val="00584204"/>
    <w:rsid w:val="00592CF8"/>
    <w:rsid w:val="005E52D5"/>
    <w:rsid w:val="006340A6"/>
    <w:rsid w:val="00640624"/>
    <w:rsid w:val="00662ED2"/>
    <w:rsid w:val="006C01E8"/>
    <w:rsid w:val="006F3908"/>
    <w:rsid w:val="00792F11"/>
    <w:rsid w:val="00792F75"/>
    <w:rsid w:val="00794A01"/>
    <w:rsid w:val="008332E6"/>
    <w:rsid w:val="00854803"/>
    <w:rsid w:val="008A4439"/>
    <w:rsid w:val="008B5206"/>
    <w:rsid w:val="009E3772"/>
    <w:rsid w:val="00A21D2D"/>
    <w:rsid w:val="00A41D80"/>
    <w:rsid w:val="00A5739F"/>
    <w:rsid w:val="00AD4F47"/>
    <w:rsid w:val="00AF3F54"/>
    <w:rsid w:val="00DA1614"/>
    <w:rsid w:val="00EF1102"/>
    <w:rsid w:val="00F141AF"/>
    <w:rsid w:val="00FB0472"/>
    <w:rsid w:val="00F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8B0B6C46-43F4-4E03-A6CB-35FDA882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59" w:line="259" w:lineRule="auto"/>
      <w:ind w:left="14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59" w:line="259" w:lineRule="auto"/>
      <w:ind w:left="14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D2D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D2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cp:lastModifiedBy>FERNANDO LUIZ DE ALMEIDA SILVEIRA</cp:lastModifiedBy>
  <cp:revision>33</cp:revision>
  <cp:lastPrinted>2025-03-20T19:06:00Z</cp:lastPrinted>
  <dcterms:created xsi:type="dcterms:W3CDTF">2025-03-20T19:06:00Z</dcterms:created>
  <dcterms:modified xsi:type="dcterms:W3CDTF">2026-09-07T20:42:00Z</dcterms:modified>
</cp:coreProperties>
</file>