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color w:val="184F95"/>
          <w:sz w:val="42"/>
        </w:rPr>
        <w:t>O que distingue este trabalho</w:t>
      </w:r>
    </w:p>
    <w:p>
      <w:pPr>
        <w:spacing w:after="80"/>
      </w:pPr>
      <w:r>
        <w:rPr>
          <w:color w:val="555B66"/>
          <w:sz w:val="23"/>
        </w:rPr>
        <w:t>Fábrica de software multi-agente — resumo comparativo</w:t>
      </w:r>
    </w:p>
    <w:p>
      <w:pPr>
        <w:spacing w:after="280"/>
        <w:pBdr>
          <w:bottom w:val="single" w:sz="6" w:color="C9D1DD" w:space="3"/>
        </w:pBdr>
      </w:pPr>
      <w:r>
        <w:rPr>
          <w:color w:val="555B66"/>
          <w:sz w:val="17"/>
        </w:rPr>
        <w:t>Enzo Consulo  ·  29 de agosto de 2026  ·  repositório público: github.com/enzoconsulo/Generic-Multi-Agents</w:t>
      </w:r>
    </w:p>
    <w:p>
      <w:pPr>
        <w:keepNext/>
        <w:spacing w:before="320" w:after="100"/>
      </w:pPr>
      <w:r>
        <w:rPr>
          <w:b/>
          <w:color w:val="184F95"/>
          <w:sz w:val="26"/>
        </w:rPr>
        <w:t>1.  Primeiro, o regime — sem isso a comparação engana</w:t>
      </w:r>
    </w:p>
    <w:p>
      <w:pPr>
        <w:spacing w:after="120"/>
        <w:jc w:val="both"/>
      </w:pPr>
      <w:r>
        <w:rPr>
          <w:b w:val="0"/>
          <w:i w:val="0"/>
          <w:sz w:val="20"/>
        </w:rPr>
        <w:t xml:space="preserve">O ChatDev reporta </w:t>
      </w:r>
      <w:r>
        <w:rPr>
          <w:b/>
          <w:i w:val="0"/>
          <w:sz w:val="20"/>
        </w:rPr>
        <w:t>22.949 tokens para produzir um software inteiro</w:t>
      </w:r>
      <w:r>
        <w:rPr>
          <w:b w:val="0"/>
          <w:i w:val="0"/>
          <w:sz w:val="20"/>
        </w:rPr>
        <w:t xml:space="preserve">. Aqui, o contexto de </w:t>
      </w:r>
      <w:r>
        <w:rPr>
          <w:b/>
          <w:i w:val="0"/>
          <w:sz w:val="20"/>
        </w:rPr>
        <w:t>um único despacho</w:t>
      </w:r>
      <w:r>
        <w:rPr>
          <w:b w:val="0"/>
          <w:i w:val="0"/>
          <w:sz w:val="20"/>
        </w:rPr>
        <w:t xml:space="preserve"> ficou entre 11 e 14 mil tokens depois de otimizado, e um trabalho real consumiu 2,44 milhões só de leitura. Duas ordens de grandeza separam os problemas.</w:t>
      </w:r>
    </w:p>
    <w:p>
      <w:pPr>
        <w:spacing w:after="120"/>
        <w:jc w:val="both"/>
      </w:pPr>
      <w:r>
        <w:rPr>
          <w:b w:val="0"/>
          <w:i w:val="0"/>
          <w:sz w:val="20"/>
        </w:rPr>
        <w:t>Num regime de sessão única, perda de contexto quase não morde — tudo cabe no diálogo. Num regime de semanas, ela é o problema central, e passam a ser necessários mecanismos que no primeiro nem fariam sentido: estado que sobrevive à sessão, contexto diferenciado por papel, começo de requisição reaproveitável e contabilidade por chamada. Os sistemas não são concorrentes; resolvem problemas de tamanhos diferentes.</w:t>
      </w:r>
    </w:p>
    <w:p>
      <w:pPr>
        <w:keepNext/>
        <w:spacing w:before="320" w:after="100"/>
      </w:pPr>
      <w:r>
        <w:rPr>
          <w:b/>
          <w:color w:val="184F95"/>
          <w:sz w:val="26"/>
        </w:rPr>
        <w:t>2.  A origem da proposta</w:t>
      </w:r>
    </w:p>
    <w:p>
      <w:pPr>
        <w:spacing w:after="120"/>
        <w:jc w:val="both"/>
      </w:pPr>
      <w:r>
        <w:rPr>
          <w:b w:val="0"/>
          <w:i w:val="0"/>
          <w:sz w:val="20"/>
        </w:rPr>
        <w:t xml:space="preserve">Não veio de um produto observado. Veio de um diagnóstico registrado na documentação antes de existir código: </w:t>
      </w:r>
      <w:r>
        <w:rPr>
          <w:b/>
          <w:i w:val="0"/>
          <w:sz w:val="20"/>
        </w:rPr>
        <w:t>as falhas não são de escrita, são de processo</w:t>
      </w:r>
      <w:r>
        <w:rPr>
          <w:b w:val="0"/>
          <w:i w:val="0"/>
          <w:sz w:val="20"/>
        </w:rPr>
        <w:t>. Quatro modos aparecem sempre — perda de contexto, decisão sem rastro, autoaprovação e tentativa sem limite — e nenhum se resolve com um modelo melhor. Daí as três regras: quem implementa nunca é quem aprova; estado fora da conversa; falha limitada. E a tese: o gargalo não está na geração de texto, e sim na governança.</w:t>
      </w:r>
    </w:p>
    <w:p>
      <w:pPr>
        <w:keepNext/>
        <w:spacing w:before="320" w:after="100"/>
      </w:pPr>
      <w:r>
        <w:rPr>
          <w:b/>
          <w:color w:val="184F95"/>
          <w:sz w:val="26"/>
        </w:rPr>
        <w:t>3.  As quatro diferenças reais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1814"/>
            <w:shd w:val="clear" w:fill="2A78D6"/>
          </w:tcPr>
          <w:p>
            <w:pPr>
              <w:spacing w:after="20"/>
            </w:pPr>
            <w:r/>
            <w:r>
              <w:rPr>
                <w:b/>
                <w:color w:val="FFFFFF"/>
                <w:sz w:val="16"/>
              </w:rPr>
              <w:t>Dimensão</w:t>
            </w:r>
          </w:p>
        </w:tc>
        <w:tc>
          <w:tcPr>
            <w:tcW w:type="dxa" w:w="2381"/>
            <w:shd w:val="clear" w:fill="2A78D6"/>
          </w:tcPr>
          <w:p>
            <w:pPr>
              <w:spacing w:after="20"/>
            </w:pPr>
            <w:r/>
            <w:r>
              <w:rPr>
                <w:b/>
                <w:color w:val="FFFFFF"/>
                <w:sz w:val="16"/>
              </w:rPr>
              <w:t>ChatDev / MetaGPT</w:t>
            </w:r>
          </w:p>
        </w:tc>
        <w:tc>
          <w:tcPr>
            <w:tcW w:type="dxa" w:w="2381"/>
            <w:shd w:val="clear" w:fill="2A78D6"/>
          </w:tcPr>
          <w:p>
            <w:pPr>
              <w:spacing w:after="20"/>
            </w:pPr>
            <w:r/>
            <w:r>
              <w:rPr>
                <w:b/>
                <w:color w:val="FFFFFF"/>
                <w:sz w:val="16"/>
              </w:rPr>
              <w:t>softwarefabrik.io</w:t>
            </w:r>
          </w:p>
        </w:tc>
        <w:tc>
          <w:tcPr>
            <w:tcW w:type="dxa" w:w="2494"/>
            <w:shd w:val="clear" w:fill="2A78D6"/>
          </w:tcPr>
          <w:p>
            <w:pPr>
              <w:spacing w:after="20"/>
            </w:pPr>
            <w:r/>
            <w:r>
              <w:rPr>
                <w:b/>
                <w:color w:val="FFFFFF"/>
                <w:sz w:val="16"/>
              </w:rPr>
              <w:t>Este trabalho</w:t>
            </w:r>
          </w:p>
        </w:tc>
      </w:tr>
      <w:tr>
        <w:tc>
          <w:tcPr>
            <w:tcW w:type="dxa" w:w="1814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Onde vive o estado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Memória de diálogo, comprimida entre fases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Espaço de trabalho e o operador humano</w:t>
            </w:r>
          </w:p>
        </w:tc>
        <w:tc>
          <w:tcPr>
            <w:tcW w:type="dxa" w:w="2494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Arquivo de tarefa e banco; a conversa nunca é fonte</w:t>
            </w:r>
          </w:p>
        </w:tc>
      </w:tr>
      <w:tr>
        <w:tc>
          <w:tcPr>
            <w:tcW w:type="dxa" w:w="1814"/>
            <w:shd w:val="clear" w:fill="F5F5F2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O que o revisor recebe</w:t>
            </w:r>
          </w:p>
        </w:tc>
        <w:tc>
          <w:tcPr>
            <w:tcW w:type="dxa" w:w="2381"/>
            <w:shd w:val="clear" w:fill="F5F5F2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O mesmo histórico da fase: o papel muda, o contexto não</w:t>
            </w:r>
          </w:p>
        </w:tc>
        <w:tc>
          <w:tcPr>
            <w:tcW w:type="dxa" w:w="2381"/>
            <w:shd w:val="clear" w:fill="F5F5F2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As diferenças finais, para decisão humana</w:t>
            </w:r>
          </w:p>
        </w:tc>
        <w:tc>
          <w:tcPr>
            <w:tcW w:type="dxa" w:w="2494"/>
            <w:shd w:val="clear" w:fill="F5F5F2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Só as mudanças, e nenhum fonte inteiro</w:t>
            </w:r>
          </w:p>
        </w:tc>
      </w:tr>
      <w:tr>
        <w:tc>
          <w:tcPr>
            <w:tcW w:type="dxa" w:w="1814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Para que o custo é medido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Comparar frameworks, no artigo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Estimar antes de executar</w:t>
            </w:r>
          </w:p>
        </w:tc>
        <w:tc>
          <w:tcPr>
            <w:tcW w:type="dxa" w:w="2494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Reprojetar: a medição decide onde mexer</w:t>
            </w:r>
          </w:p>
        </w:tc>
      </w:tr>
      <w:tr>
        <w:tc>
          <w:tcPr>
            <w:tcW w:type="dxa" w:w="1814"/>
            <w:shd w:val="clear" w:fill="F5F5F2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O que acontece ao falhar</w:t>
            </w:r>
          </w:p>
        </w:tc>
        <w:tc>
          <w:tcPr>
            <w:tcW w:type="dxa" w:w="2381"/>
            <w:shd w:val="clear" w:fill="F5F5F2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Dez rodadas, ou duas modificações sem mudança</w:t>
            </w:r>
          </w:p>
        </w:tc>
        <w:tc>
          <w:tcPr>
            <w:tcW w:type="dxa" w:w="2381"/>
            <w:shd w:val="clear" w:fill="F5F5F2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O operador decide</w:t>
            </w:r>
          </w:p>
        </w:tc>
        <w:tc>
          <w:tcPr>
            <w:tcW w:type="dxa" w:w="2494"/>
            <w:shd w:val="clear" w:fill="F5F5F2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Escada: sobe modelo, troca especialista, replaneja, bloqueia</w:t>
            </w:r>
          </w:p>
        </w:tc>
      </w:tr>
    </w:tbl>
    <w:p>
      <w:pPr>
        <w:spacing w:after="80"/>
      </w:pPr>
    </w:p>
    <w:p>
      <w:pPr>
        <w:spacing w:after="120"/>
        <w:jc w:val="both"/>
      </w:pPr>
      <w:r>
        <w:rPr>
          <w:b w:val="0"/>
          <w:i w:val="0"/>
          <w:sz w:val="20"/>
        </w:rPr>
        <w:t>Duas correções honestas, que versões anteriores desta comparação erravam: o revisor do ChatDev também não edita código, e o limite de dez rodadas é um limite real. O que distingue aqui não é ter limite, e sim a escada — em especial o terceiro degrau, que trata o fracasso repetido como possível erro de dimensionamento da tarefa e a redivide automaticamente. E a proibição de corrigir não é convenção de protocolo: é ausência da ferramenta no catálogo do papel, com teste que garante.</w:t>
      </w:r>
    </w:p>
    <w:p>
      <w:pPr>
        <w:keepNext/>
        <w:spacing w:before="320" w:after="100"/>
      </w:pPr>
      <w:r>
        <w:rPr>
          <w:b/>
          <w:color w:val="184F95"/>
          <w:sz w:val="26"/>
        </w:rPr>
        <w:t>4.  A economia do contexto — a alavanca mais específica</w:t>
      </w:r>
    </w:p>
    <w:p>
      <w:pPr>
        <w:spacing w:after="120"/>
        <w:jc w:val="both"/>
      </w:pPr>
      <w:r>
        <w:rPr>
          <w:b w:val="0"/>
          <w:i w:val="0"/>
          <w:sz w:val="20"/>
        </w:rPr>
        <w:t xml:space="preserve">A interface do modelo não tem memória: todo o histórico é reenviado a cada chamada. Logo, </w:t>
      </w:r>
      <w:r>
        <w:rPr>
          <w:b/>
          <w:i w:val="0"/>
          <w:sz w:val="20"/>
        </w:rPr>
        <w:t>um arquivo que o revisor nunca vai abrir não é um desperdício de uma vez, é um desperdício multiplicado pelo número de voltas do despacho</w:t>
      </w:r>
      <w:r>
        <w:rPr>
          <w:b w:val="0"/>
          <w:i w:val="0"/>
          <w:sz w:val="20"/>
        </w:rPr>
        <w:t>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2494"/>
            <w:shd w:val="clear" w:fill="2A78D6"/>
          </w:tcPr>
          <w:p>
            <w:pPr>
              <w:spacing w:after="20"/>
            </w:pPr>
            <w:r/>
            <w:r>
              <w:rPr>
                <w:b/>
                <w:color w:val="FFFFFF"/>
                <w:sz w:val="17"/>
              </w:rPr>
              <w:t>Alavanca</w:t>
            </w:r>
          </w:p>
        </w:tc>
        <w:tc>
          <w:tcPr>
            <w:tcW w:type="dxa" w:w="6576"/>
            <w:shd w:val="clear" w:fill="2A78D6"/>
          </w:tcPr>
          <w:p>
            <w:pPr>
              <w:spacing w:after="20"/>
            </w:pPr>
            <w:r/>
            <w:r>
              <w:rPr>
                <w:b/>
                <w:color w:val="FFFFFF"/>
                <w:sz w:val="17"/>
              </w:rPr>
              <w:t>O que é</w:t>
            </w:r>
          </w:p>
        </w:tc>
      </w:tr>
      <w:tr>
        <w:tc>
          <w:tcPr>
            <w:tcW w:type="dxa" w:w="2494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Começo estável e reaproveitado</w:t>
            </w:r>
          </w:p>
        </w:tc>
        <w:tc>
          <w:tcPr>
            <w:tcW w:type="dxa" w:w="6576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Ferramentas, doutrina e índice do projeto idênticos entre despachos — o trecho repetido cai a cerca de um décimo do preço</w:t>
            </w:r>
          </w:p>
        </w:tc>
      </w:tr>
      <w:tr>
        <w:tc>
          <w:tcPr>
            <w:tcW w:type="dxa" w:w="2494"/>
            <w:shd w:val="clear" w:fill="F5F5F2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Contexto por papel</w:t>
            </w:r>
          </w:p>
        </w:tc>
        <w:tc>
          <w:tcPr>
            <w:tcW w:type="dxa" w:w="6576"/>
            <w:shd w:val="clear" w:fill="F5F5F2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Quem constrói leva os arquivos da tarefa; quem revisa leva só as mudanças</w:t>
            </w:r>
          </w:p>
        </w:tc>
      </w:tr>
      <w:tr>
        <w:tc>
          <w:tcPr>
            <w:tcW w:type="dxa" w:w="2494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Checagem por comando antes do modelo</w:t>
            </w:r>
          </w:p>
        </w:tc>
        <w:tc>
          <w:tcPr>
            <w:tcW w:type="dxa" w:w="6576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Critérios escritos como comando executável rodam de graça, antes do despacho</w:t>
            </w:r>
          </w:p>
        </w:tc>
      </w:tr>
      <w:tr>
        <w:tc>
          <w:tcPr>
            <w:tcW w:type="dxa" w:w="2494"/>
            <w:shd w:val="clear" w:fill="F5F5F2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Modelo conforme o papel</w:t>
            </w:r>
          </w:p>
        </w:tc>
        <w:tc>
          <w:tcPr>
            <w:tcW w:type="dxa" w:w="6576"/>
            <w:shd w:val="clear" w:fill="F5F5F2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Verificar é mecânico e usa o modelo barato; o retrabalho sobe de modelo</w:t>
            </w:r>
          </w:p>
        </w:tc>
      </w:tr>
      <w:tr>
        <w:tc>
          <w:tcPr>
            <w:tcW w:type="dxa" w:w="2494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Trabalho em lote</w:t>
            </w:r>
          </w:p>
        </w:tc>
        <w:tc>
          <w:tcPr>
            <w:tcW w:type="dxa" w:w="6576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Reindexação e documentação vão pela via assíncrona, que cobra metade</w:t>
            </w:r>
          </w:p>
        </w:tc>
      </w:tr>
    </w:tbl>
    <w:p>
      <w:pPr>
        <w:spacing w:after="80"/>
      </w:pPr>
    </w:p>
    <w:p>
      <w:pPr>
        <w:spacing w:after="120"/>
        <w:jc w:val="both"/>
      </w:pPr>
      <w:r>
        <w:rPr>
          <w:b w:val="0"/>
          <w:i w:val="0"/>
          <w:sz w:val="20"/>
        </w:rPr>
        <w:t>Medido: o revisor passou a sair sem nenhum arquivo embutido, contra dois ou três do construtor da mesma tarefa, com o contexto do papel caindo de cerca de 35 mil para 15 mil tokens. E a medição revelou que 93,14% dos tokens de entrada já eram leitura reaproveitada, enquanto a escrita — 6,66% dos tokens — carregava cerca de metade da conta. Foi esse número que redirecionou o redesenho.</w:t>
      </w:r>
    </w:p>
    <w:p>
      <w:pPr>
        <w:keepNext/>
        <w:spacing w:before="320" w:after="100"/>
      </w:pPr>
      <w:r>
        <w:rPr>
          <w:b/>
          <w:color w:val="184F95"/>
          <w:sz w:val="26"/>
        </w:rPr>
        <w:t>5.  O que é herdado, e o que é convergência</w:t>
      </w:r>
    </w:p>
    <w:p>
      <w:pPr>
        <w:spacing w:after="120"/>
        <w:jc w:val="both"/>
      </w:pPr>
      <w:r>
        <w:rPr>
          <w:b w:val="0"/>
          <w:i w:val="0"/>
          <w:sz w:val="20"/>
        </w:rPr>
        <w:t>A citar, não a reivindicar: o termo “fábrica de software” (CUSUMANO, 1991); papéis especializados e limite de iteração (ChatDev, MetaGPT, 2023); portão de qualidade, modelo por papel e estimativa de custo (softwarefabrik.io); agente como processo supervisionado em OTP (prática corrente em Elixir).</w:t>
      </w:r>
    </w:p>
    <w:p>
      <w:pPr>
        <w:spacing w:after="120"/>
        <w:jc w:val="both"/>
      </w:pPr>
      <w:r>
        <w:rPr>
          <w:b w:val="0"/>
          <w:i w:val="0"/>
          <w:sz w:val="20"/>
        </w:rPr>
        <w:t xml:space="preserve">A semelhança é convergência, não cópia, e o argumento mais forte é este: </w:t>
      </w:r>
      <w:r>
        <w:rPr>
          <w:b/>
          <w:i w:val="0"/>
          <w:sz w:val="20"/>
        </w:rPr>
        <w:t>as soluções divergem onde o problema é o mesmo</w:t>
      </w:r>
      <w:r>
        <w:rPr>
          <w:b w:val="0"/>
          <w:i w:val="0"/>
          <w:sz w:val="20"/>
        </w:rPr>
        <w:t>. A autoaprovação é atacada pelos três — o comercial põe um humano no portão, ao custo da autonomia; os acadêmicos usam convenção de protocolo; este remove a ferramenta do catálogo do papel.</w:t>
      </w:r>
    </w:p>
    <w:p>
      <w:pPr>
        <w:keepNext/>
        <w:spacing w:before="320" w:after="100"/>
      </w:pPr>
      <w:r>
        <w:rPr>
          <w:b/>
          <w:color w:val="184F95"/>
          <w:sz w:val="26"/>
        </w:rPr>
        <w:t>6.  A evidência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1247"/>
            <w:shd w:val="clear" w:fill="2A78D6"/>
          </w:tcPr>
          <w:p>
            <w:pPr>
              <w:spacing w:after="20"/>
            </w:pPr>
            <w:r/>
            <w:r>
              <w:rPr>
                <w:b/>
                <w:color w:val="FFFFFF"/>
                <w:sz w:val="16"/>
              </w:rPr>
              <w:t>Commit</w:t>
            </w:r>
          </w:p>
        </w:tc>
        <w:tc>
          <w:tcPr>
            <w:tcW w:type="dxa" w:w="907"/>
            <w:shd w:val="clear" w:fill="2A78D6"/>
          </w:tcPr>
          <w:p>
            <w:pPr>
              <w:spacing w:after="20"/>
            </w:pPr>
            <w:r/>
            <w:r>
              <w:rPr>
                <w:b/>
                <w:color w:val="FFFFFF"/>
                <w:sz w:val="16"/>
              </w:rPr>
              <w:t>Data</w:t>
            </w:r>
          </w:p>
        </w:tc>
        <w:tc>
          <w:tcPr>
            <w:tcW w:type="dxa" w:w="6917"/>
            <w:shd w:val="clear" w:fill="2A78D6"/>
          </w:tcPr>
          <w:p>
            <w:pPr>
              <w:spacing w:after="20"/>
            </w:pPr>
            <w:r/>
            <w:r>
              <w:rPr>
                <w:b/>
                <w:color w:val="FFFFFF"/>
                <w:sz w:val="16"/>
              </w:rPr>
              <w:t>O que registra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8215dbf</w:t>
            </w:r>
          </w:p>
        </w:tc>
        <w:tc>
          <w:tcPr>
            <w:tcW w:type="dxa" w:w="907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01/08</w:t>
            </w:r>
          </w:p>
        </w:tc>
        <w:tc>
          <w:tcPr>
            <w:tcW w:type="dxa" w:w="6917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Índice denso do projeto no lugar da varredura de arquivos</w:t>
            </w:r>
          </w:p>
        </w:tc>
      </w:tr>
      <w:tr>
        <w:tc>
          <w:tcPr>
            <w:tcW w:type="dxa" w:w="1247"/>
            <w:shd w:val="clear" w:fill="F5F5F2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1a41ca8</w:t>
            </w:r>
          </w:p>
        </w:tc>
        <w:tc>
          <w:tcPr>
            <w:tcW w:type="dxa" w:w="907"/>
            <w:shd w:val="clear" w:fill="F5F5F2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02/08</w:t>
            </w:r>
          </w:p>
        </w:tc>
        <w:tc>
          <w:tcPr>
            <w:tcW w:type="dxa" w:w="6917"/>
            <w:shd w:val="clear" w:fill="F5F5F2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Montador de contexto por papel e teto de custo com parada limpa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91559b8</w:t>
            </w:r>
          </w:p>
        </w:tc>
        <w:tc>
          <w:tcPr>
            <w:tcW w:type="dxa" w:w="907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02/08</w:t>
            </w:r>
          </w:p>
        </w:tc>
        <w:tc>
          <w:tcPr>
            <w:tcW w:type="dxa" w:w="6917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O laço de orquestração vira código testado</w:t>
            </w:r>
          </w:p>
        </w:tc>
      </w:tr>
      <w:tr>
        <w:tc>
          <w:tcPr>
            <w:tcW w:type="dxa" w:w="1247"/>
            <w:shd w:val="clear" w:fill="F5F5F2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8017c41</w:t>
            </w:r>
          </w:p>
        </w:tc>
        <w:tc>
          <w:tcPr>
            <w:tcW w:type="dxa" w:w="907"/>
            <w:shd w:val="clear" w:fill="F5F5F2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02/08</w:t>
            </w:r>
          </w:p>
        </w:tc>
        <w:tc>
          <w:tcPr>
            <w:tcW w:type="dxa" w:w="6917"/>
            <w:shd w:val="clear" w:fill="F5F5F2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O pipeline decide sozinho, sem portão de julgamento humano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696762e</w:t>
            </w:r>
          </w:p>
        </w:tc>
        <w:tc>
          <w:tcPr>
            <w:tcW w:type="dxa" w:w="907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31/07</w:t>
            </w:r>
          </w:p>
        </w:tc>
        <w:tc>
          <w:tcPr>
            <w:tcW w:type="dxa" w:w="6917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Um ganho de 12% remedido, identificado como ruído e retirado</w:t>
            </w:r>
          </w:p>
        </w:tc>
      </w:tr>
      <w:tr>
        <w:tc>
          <w:tcPr>
            <w:tcW w:type="dxa" w:w="1247"/>
            <w:shd w:val="clear" w:fill="F5F5F2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e8974c5</w:t>
            </w:r>
          </w:p>
        </w:tc>
        <w:tc>
          <w:tcPr>
            <w:tcW w:type="dxa" w:w="907"/>
            <w:shd w:val="clear" w:fill="F5F5F2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21/08</w:t>
            </w:r>
          </w:p>
        </w:tc>
        <w:tc>
          <w:tcPr>
            <w:tcW w:type="dxa" w:w="6917"/>
            <w:shd w:val="clear" w:fill="F5F5F2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Hipótese de gargalo avaliada e descartada: 0 s de fila em 43 rodadas</w:t>
            </w:r>
          </w:p>
        </w:tc>
      </w:tr>
    </w:tbl>
    <w:p>
      <w:pPr>
        <w:spacing w:after="80"/>
      </w:pPr>
    </w:p>
    <w:p>
      <w:pPr>
        <w:spacing w:after="120"/>
        <w:jc w:val="both"/>
      </w:pPr>
      <w:r>
        <w:rPr>
          <w:b w:val="0"/>
          <w:i w:val="0"/>
          <w:sz w:val="20"/>
        </w:rPr>
        <w:t>Os dois últimos são os mais relevantes para a defesa do método: em ambos a medição contrariou a hipótese e o rumo mudou. São 205 commits em seis semanas, com os conceitos aparecendo depois dos incidentes que os motivaram; e, em operação real, 86 tarefas concluídas de 89, em três projetos de domínios distintos, com 139 execuções gravadas.</w:t>
      </w:r>
    </w:p>
    <w:sectPr w:rsidR="00FC693F" w:rsidRPr="0006063C" w:rsidSect="00034616">
      <w:pgSz w:w="12240" w:h="15840"/>
      <w:pgMar w:top="1247" w:right="1361" w:bottom="1134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Calibri" w:hAnsi="Calibri"/>
      <w:color w:val="1A1A1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