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84F95"/>
          <w:sz w:val="42"/>
        </w:rPr>
        <w:t>Delimitação de originalidade</w:t>
      </w:r>
    </w:p>
    <w:p>
      <w:pPr>
        <w:spacing w:after="80"/>
      </w:pPr>
      <w:r>
        <w:rPr>
          <w:color w:val="555B66"/>
          <w:sz w:val="23"/>
        </w:rPr>
        <w:t>Fábrica de software multi-agente — a origem da proposta e sua posição no estado da arte</w:t>
      </w:r>
    </w:p>
    <w:p>
      <w:pPr>
        <w:spacing w:after="280"/>
        <w:pBdr>
          <w:bottom w:val="single" w:sz="6" w:color="C9D1DD" w:space="3"/>
        </w:pBdr>
      </w:pPr>
      <w:r>
        <w:rPr>
          <w:color w:val="555B66"/>
          <w:sz w:val="17"/>
        </w:rPr>
        <w:t>Enzo Consulo  ·  29 de agosto de 2026  ·  repositório público: github.com/enzoconsulo/Generic-Multi-Agents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Este documento responde a uma pergunta feita em orientação: se já existem fábricas de software agênticas, o que este trabalho acrescenta. A resposta não passa por comparar funcionalidades — passa por explicitar </w:t>
      </w:r>
      <w:r>
        <w:rPr>
          <w:b/>
          <w:i w:val="0"/>
          <w:sz w:val="20"/>
        </w:rPr>
        <w:t>de onde a proposta veio</w:t>
      </w:r>
      <w:r>
        <w:rPr>
          <w:b w:val="0"/>
          <w:i w:val="0"/>
          <w:sz w:val="20"/>
        </w:rPr>
        <w:t>. Ela não nasceu de um produto observado; nasceu de um diagnóstico, registrado na documentação do projeto antes de existir código. É desse diagnóstico que todos os mecanismos descem, e é por ele que a comparação com o estado da arte deve ser feita.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1.  A origem da proposta: um diagnóstico, não um produto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Parte I da documentação do trabalho abre com uma observação sobre o regime em que modelos de linguagem falham. Um modelo escreve bem quando o pedido é curto e tudo o que ele precisa saber cabe numa conversa; pedir “construa este sistema” é outra coisa, porque o trabalho dura horas, atravessa dezenas de arquivos e depende de decisões tomadas no começo que ainda precisam valer no fim. O ponto de partida é a frase que organiza o trabalho inteiro: </w:t>
      </w:r>
      <w:r>
        <w:rPr>
          <w:b/>
          <w:i w:val="0"/>
          <w:sz w:val="20"/>
        </w:rPr>
        <w:t>as falhas não são de escrita, são de processo</w:t>
      </w:r>
      <w:r>
        <w:rPr>
          <w:b w:val="0"/>
          <w:i w:val="0"/>
          <w:sz w:val="20"/>
        </w:rPr>
        <w:t>. O modelo continua produzindo bem cada trecho isolado; o que se perde é a coerência do conjunto.</w:t>
      </w:r>
    </w:p>
    <w:p>
      <w:pPr>
        <w:spacing w:after="120"/>
        <w:jc w:val="both"/>
      </w:pPr>
      <w:r>
        <w:rPr>
          <w:b w:val="0"/>
          <w:i w:val="0"/>
          <w:sz w:val="20"/>
        </w:rPr>
        <w:t>Do diagnóstico saem quatro modos de falha, e nenhum deles se resolve com um modelo melhor: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268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Modo de falha</w:t>
            </w:r>
          </w:p>
        </w:tc>
        <w:tc>
          <w:tcPr>
            <w:tcW w:type="dxa" w:w="6803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7"/>
              </w:rPr>
              <w:t>Como se manifesta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Perda de contexto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 conversa cresce, o começo sai de vista, e o modelo contradiz o que ele mesmo decidiu horas antes.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Decisão sem rastro</w:t>
            </w:r>
          </w:p>
        </w:tc>
        <w:tc>
          <w:tcPr>
            <w:tcW w:type="dxa" w:w="680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O motivo de uma escolha ficou no meio do diálogo. Quando a sessão termina, some junto — e a decisão é tomada de novo, às vezes ao contrário.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Autoaprovação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Quem escreveu o código é quem afirma que está pronto. O mesmo raciocínio que produziu o erro é o que vai procurá-lo.</w:t>
            </w:r>
          </w:p>
        </w:tc>
      </w:tr>
      <w:tr>
        <w:tc>
          <w:tcPr>
            <w:tcW w:type="dxa" w:w="2268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Tentativa sem limite</w:t>
            </w:r>
          </w:p>
        </w:tc>
        <w:tc>
          <w:tcPr>
            <w:tcW w:type="dxa" w:w="680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7"/>
              </w:rPr>
              <w:t>Um ponto difícil consome tentativa após tentativa, trava a fila, e o custo cresce sem que nada avance.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resposta proposta é não pedir o sistema inteiro de uma vez: dividir o pedido em tarefas pequenas e nomeadas, dar a cada uma um estado explícito registrado fora da conversa, e passar cada entrega por revisores que não a construíram. Daí saem as três regras que a documentação apresenta como origem de todo o resto — </w:t>
      </w:r>
      <w:r>
        <w:rPr>
          <w:b/>
          <w:i w:val="0"/>
          <w:sz w:val="20"/>
        </w:rPr>
        <w:t>quem implementa nunca é quem aprova</w:t>
      </w:r>
      <w:r>
        <w:rPr>
          <w:b w:val="0"/>
          <w:i w:val="0"/>
          <w:sz w:val="20"/>
        </w:rPr>
        <w:t xml:space="preserve">; </w:t>
      </w:r>
      <w:r>
        <w:rPr>
          <w:b/>
          <w:i w:val="0"/>
          <w:sz w:val="20"/>
        </w:rPr>
        <w:t>estado fora da conversa</w:t>
      </w:r>
      <w:r>
        <w:rPr>
          <w:b w:val="0"/>
          <w:i w:val="0"/>
          <w:sz w:val="20"/>
        </w:rPr>
        <w:t xml:space="preserve">; e </w:t>
      </w:r>
      <w:r>
        <w:rPr>
          <w:b/>
          <w:i w:val="0"/>
          <w:sz w:val="20"/>
        </w:rPr>
        <w:t>falha limitada</w:t>
      </w:r>
      <w:r>
        <w:rPr>
          <w:b w:val="0"/>
          <w:i w:val="0"/>
          <w:sz w:val="20"/>
        </w:rPr>
        <w:t>. E daí sai a tese: o gargalo de um sistema como este não está na geração de texto, e sim na governança.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A TESE DA SEGUNDA VERSÃO  </w:t>
            </w:r>
            <w:r>
              <w:rPr>
                <w:sz w:val="19"/>
              </w:rPr>
              <w:t>Se a governança é o gargalo, então governança escrita em prosa dentro de um prompt é governança opcional. A segunda versão move para o compilador, para a árvore de supervisão e para o esquema do banco tudo o que hoje é frase imperativa dirigida a um modelo. Ela não precisa ser mais esperta que a primeira: precisa ser mais difícil de operar errado.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2.  Cada mecanismo é derivável de um modo de falha</w:t>
      </w:r>
    </w:p>
    <w:p>
      <w:pPr>
        <w:spacing w:after="120"/>
        <w:jc w:val="both"/>
      </w:pPr>
      <w:r>
        <w:rPr>
          <w:b w:val="0"/>
          <w:i w:val="0"/>
          <w:sz w:val="20"/>
        </w:rPr>
        <w:t>Esta é a propriedade que sustenta a originalidade da proposta, e ela é verificável: não há mecanismo no sistema que não responda a um dos quatro modos. A derivação está escrita antes do código, e o commit que a implementa vem depois.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81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Modo de falha</w:t>
            </w:r>
          </w:p>
        </w:tc>
        <w:tc>
          <w:tcPr>
            <w:tcW w:type="dxa" w:w="5443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O mecanismo que responde</w:t>
            </w:r>
          </w:p>
        </w:tc>
        <w:tc>
          <w:tcPr>
            <w:tcW w:type="dxa" w:w="181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Perda de contexto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agente começa frio por desenho, e recebe um índice denso do projeto em vez de varrer arquivos; cada papel recebe só o que usa.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8215dbf, 1a41ca8</w:t>
            </w:r>
          </w:p>
        </w:tc>
      </w:tr>
      <w:tr>
        <w:tc>
          <w:tcPr>
            <w:tcW w:type="dxa" w:w="181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Decisão sem rastro</w:t>
            </w:r>
          </w:p>
        </w:tc>
        <w:tc>
          <w:tcPr>
            <w:tcW w:type="dxa" w:w="544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Toda decisão é gravada com o motivo no instante em que acontece; a história do projeto vira índice consultável.</w:t>
            </w:r>
          </w:p>
        </w:tc>
        <w:tc>
          <w:tcPr>
            <w:tcW w:type="dxa" w:w="181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9d43b61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Autoaprovação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Dois portões operados por quem não construiu — e a ferramenta de escrever não existe para eles.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8017c41, e0bffee</w:t>
            </w:r>
          </w:p>
        </w:tc>
      </w:tr>
      <w:tr>
        <w:tc>
          <w:tcPr>
            <w:tcW w:type="dxa" w:w="181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Tentativa sem limite</w:t>
            </w:r>
          </w:p>
        </w:tc>
        <w:tc>
          <w:tcPr>
            <w:tcW w:type="dxa" w:w="5443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Três ciclos por tarefa, escada de resposta ao fracasso com replanejamento, e teto de custo com parada limpa.</w:t>
            </w:r>
          </w:p>
        </w:tc>
        <w:tc>
          <w:tcPr>
            <w:tcW w:type="dxa" w:w="181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1a41ca8, f5b8fd4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>A consequência metodológica importa mais que a lista: um mecanismo que não se ligue a um modo de falha nomeado é candidato a remoção, e um modo de falha sem mecanismo é lacuna declarada. O desenho fica auditável.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3.  O estado da arte, lido pelo mesmo diagnóstico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Existem sistemas próximos, e eles precisam ser citados. Mas a pergunta útil não é “quem também tem portão de qualidade?” — praticamente todos têm. A pergunta é </w:t>
      </w:r>
      <w:r>
        <w:rPr>
          <w:b/>
          <w:i w:val="0"/>
          <w:sz w:val="20"/>
        </w:rPr>
        <w:t>qual modo de falha cada projeto resolve, e a que custo</w:t>
      </w:r>
      <w:r>
        <w:rPr>
          <w:b w:val="0"/>
          <w:i w:val="0"/>
          <w:sz w:val="20"/>
        </w:rPr>
        <w:t>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3.1  Os projetos considerados</w:t>
      </w:r>
    </w:p>
    <w:p>
      <w:pPr>
        <w:pStyle w:val="ListBullet"/>
        <w:spacing w:after="60"/>
        <w:ind w:left="397"/>
      </w:pPr>
      <w:r>
        <w:rPr>
          <w:b/>
          <w:sz w:val="20"/>
        </w:rPr>
        <w:t>Agentic Software Factory (softwarefabrik.io)</w:t>
      </w:r>
      <w:r>
        <w:rPr>
          <w:b w:val="0"/>
          <w:sz w:val="20"/>
        </w:rPr>
        <w:t xml:space="preserve"> — produto comercial, de Martin Janda, v0.30.0 (2026). Assistente de entrada com dezoito modelos de stack, execução em contêiner isolado, e portão final com seis papéis revisores. É o sistema mais próximo em vocabulário.</w:t>
      </w:r>
    </w:p>
    <w:p>
      <w:pPr>
        <w:pStyle w:val="ListBullet"/>
        <w:spacing w:after="60"/>
        <w:ind w:left="397"/>
      </w:pPr>
      <w:r>
        <w:rPr>
          <w:b/>
          <w:sz w:val="20"/>
        </w:rPr>
        <w:t>ChatDev e MetaGPT</w:t>
      </w:r>
      <w:r>
        <w:rPr>
          <w:b w:val="0"/>
          <w:sz w:val="20"/>
        </w:rPr>
        <w:t xml:space="preserve"> (2023) — origem acadêmica da ideia de papéis especializados de agentes produzindo software, organizados em ciclo de vida e conduzidos por diálogo entre pares de agentes.</w:t>
      </w:r>
    </w:p>
    <w:p>
      <w:pPr>
        <w:pStyle w:val="ListBullet"/>
        <w:spacing w:after="60"/>
        <w:ind w:left="397"/>
      </w:pPr>
      <w:r>
        <w:rPr>
          <w:b/>
          <w:sz w:val="20"/>
        </w:rPr>
        <w:t>Cortex, Sagents, SwarmEx, Synapse</w:t>
      </w:r>
      <w:r>
        <w:rPr>
          <w:b w:val="0"/>
          <w:sz w:val="20"/>
        </w:rPr>
        <w:t xml:space="preserve"> — bibliotecas de orquestração de agentes em Elixir/OTP, nas quais agente como processo supervisionado já é prática corrente.</w:t>
      </w:r>
    </w:p>
    <w:p>
      <w:pPr>
        <w:pStyle w:val="ListBullet"/>
        <w:spacing w:after="60"/>
        <w:ind w:left="397"/>
      </w:pPr>
      <w:r>
        <w:rPr>
          <w:b/>
          <w:sz w:val="20"/>
        </w:rPr>
        <w:t>Factory.ai e correlatos</w:t>
      </w:r>
      <w:r>
        <w:rPr>
          <w:b w:val="0"/>
          <w:sz w:val="20"/>
        </w:rPr>
        <w:t xml:space="preserve"> — posicionamento comercial de fábrica agêntica; e, antes de tudo isso, o próprio termo “fábrica de software” vem da engenharia de software das décadas de 1960 a 1990 (CUSUMANO, 1991).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3.2  Quem resolve o quê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170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Modo de falha</w:t>
            </w:r>
          </w:p>
        </w:tc>
        <w:tc>
          <w:tcPr>
            <w:tcW w:type="dxa" w:w="249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Este trabalho</w:t>
            </w:r>
          </w:p>
        </w:tc>
        <w:tc>
          <w:tcPr>
            <w:tcW w:type="dxa" w:w="2494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softwarefabrik.io</w:t>
            </w:r>
          </w:p>
        </w:tc>
        <w:tc>
          <w:tcPr>
            <w:tcW w:type="dxa" w:w="2381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ChatDev / MetaGPT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Perda de contexto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Agente frio por desenho; índice denso; contexto por papel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operador humano sustenta a continuidade entre passos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histórico de diálogo é o estado — o modo não é atacado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Decisão sem rastro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Decisão gravada com o motivo; história indexada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Versionamento e artefatos do espaço de trabalho</w:t>
            </w:r>
          </w:p>
        </w:tc>
        <w:tc>
          <w:tcPr>
            <w:tcW w:type="dxa" w:w="238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Não trata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Autoaprovação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Portões sem a ferramenta de escrever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Resolvido pela aprovação humana, ao custo da autonomia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Revisor é agente do mesmo diálogo</w:t>
            </w:r>
          </w:p>
        </w:tc>
      </w:tr>
      <w:tr>
        <w:tc>
          <w:tcPr>
            <w:tcW w:type="dxa" w:w="170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Tentativa sem limite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Três ciclos, escada de fracasso, teto por tarefa</w:t>
            </w:r>
          </w:p>
        </w:tc>
        <w:tc>
          <w:tcPr>
            <w:tcW w:type="dxa" w:w="2494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operador decide quando parar</w:t>
            </w:r>
          </w:p>
        </w:tc>
        <w:tc>
          <w:tcPr>
            <w:tcW w:type="dxa" w:w="2381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Novo ciclo de diálogo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 w:val="0"/>
          <w:i w:val="0"/>
          <w:sz w:val="20"/>
        </w:rPr>
        <w:t xml:space="preserve">A leitura da tabela é o argumento central deste documento. O sistema comercial mais próximo resolve a autoaprovação </w:t>
      </w:r>
      <w:r>
        <w:rPr>
          <w:b/>
          <w:i w:val="0"/>
          <w:sz w:val="20"/>
        </w:rPr>
        <w:t>colocando um humano no portão</w:t>
      </w:r>
      <w:r>
        <w:rPr>
          <w:b w:val="0"/>
          <w:i w:val="0"/>
          <w:sz w:val="20"/>
        </w:rPr>
        <w:t xml:space="preserve"> — solução legítima, e a mais segura, mas que responde a uma pergunta diferente da que este trabalho faz. Os sistemas acadêmicos, ao manterem o diálogo como estado, atacam a autoaprovação e deixam a perda de contexto praticamente intocada, que é o primeiro dos quatro modos.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4.  As diferenças reais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4.1  A autoaprovação é resolvida por ausência de ferramenta, não por presença de humano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Esta é a diferença que decide, porque as duas soluções são mutuamente exclusivas. Colocar o humano no portão resolve a autoaprovação e </w:t>
      </w:r>
      <w:r>
        <w:rPr>
          <w:b/>
          <w:i w:val="0"/>
          <w:sz w:val="20"/>
        </w:rPr>
        <w:t>elimina a autonomia</w:t>
      </w:r>
      <w:r>
        <w:rPr>
          <w:b w:val="0"/>
          <w:i w:val="0"/>
          <w:sz w:val="20"/>
        </w:rPr>
        <w:t xml:space="preserve">; retirar a ferramenta de escrever do revisor resolve a autoaprovação </w:t>
      </w:r>
      <w:r>
        <w:rPr>
          <w:b/>
          <w:i w:val="0"/>
          <w:sz w:val="20"/>
        </w:rPr>
        <w:t>preservando a autonomia</w:t>
      </w:r>
      <w:r>
        <w:rPr>
          <w:b w:val="0"/>
          <w:i w:val="0"/>
          <w:sz w:val="20"/>
        </w:rPr>
        <w:t>, e transfere o problema para outro lugar — é preciso então limitar a falha por desenho, porque não há quem interrompa. Todo o limite de ciclos, a escada de resposta ao fracasso e o replanejamento automático existem por causa dessa escolha.</w:t>
      </w:r>
    </w:p>
    <w:p>
      <w:pPr>
        <w:spacing w:after="120"/>
        <w:jc w:val="both"/>
      </w:pPr>
      <w:r>
        <w:rPr>
          <w:b w:val="0"/>
          <w:i w:val="0"/>
          <w:sz w:val="20"/>
        </w:rPr>
        <w:t>A regra deixa de ser interpretável e passa a ser impossibilidade: o catálogo de ferramentas do revisor não contém escrita, e há teste que percorre os papéis para garantir isso. É a tese do trabalho — governança como propriedade da estrutura, não como frase — aplicada ao próprio sistema.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4.2  O coordenador não é um agente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Nos sistemas acadêmicos a coordenação acontece por diálogo entre agentes; no sistema comercial, quem coordena é o operador. Aqui, quem decide ordem, promoção, roteamento e escalonamento é código determinístico. A decisão foi tomada </w:t>
      </w:r>
      <w:r>
        <w:rPr>
          <w:b/>
          <w:i w:val="0"/>
          <w:sz w:val="20"/>
        </w:rPr>
        <w:t>por medição, não por preferência</w:t>
      </w:r>
      <w:r>
        <w:rPr>
          <w:b w:val="0"/>
          <w:i w:val="0"/>
          <w:sz w:val="20"/>
        </w:rPr>
        <w:t>: observou-se que o coordenador baseado em modelo consumia cerca de 17% do custo de um trabalho para executar o que é, literalmente, uma máquina de estados. A fronteira adotada é explícita — cabe num teste, então é código; replanejar e julgar um marco reprovado continuam no modelo, porque são julgamento.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4.3  Não há catálogo nem elenco: o sistema sintetiza o que precisa</w:t>
      </w:r>
    </w:p>
    <w:p>
      <w:pPr>
        <w:spacing w:after="120"/>
        <w:jc w:val="both"/>
      </w:pPr>
      <w:r>
        <w:rPr>
          <w:b w:val="0"/>
          <w:i w:val="0"/>
          <w:sz w:val="20"/>
        </w:rPr>
        <w:t>De uma frase em linguagem natural saem especificação, plano em fases e de oito a vinte tarefas com dependências declaradas; a equipe é sintetizada em dois a cinco especialistas a partir do próprio pedido. O sistema comercial parte de dezoito modelos de stack; os acadêmicos, de um elenco fixo de papéis de empresa. A diferença não é de conveniência: um catálogo delimita o que o sistema aceita construir, enquanto a síntese desloca esse limite para a capacidade de decompor.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4.4  O desenho é derivado da telemetria da própria operação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Esta é a contribuição empírica, e é a que nenhum dos projetos comparados pode ter, porque depende de dados que só existem neste repositório. A primeira versão operou seis semanas em uso real, com contabilidade por chamada, e a segunda é reprojetada a partir do que foi medido — inclusive quando a medição contrariou a hipótese de partida. Os sistemas acadêmicos medem qualidade de saída em conjuntos de referência; o comercial estima custo antes de executar. </w:t>
      </w:r>
      <w:r>
        <w:rPr>
          <w:b/>
          <w:i w:val="0"/>
          <w:sz w:val="20"/>
        </w:rPr>
        <w:t>Nenhum publica medição da própria operação para reprojetar-se.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SOBRE A EXTENSÃO A ARTEFATOS NÃO-SOFTWARE  </w:t>
            </w:r>
            <w:r>
              <w:rPr>
                <w:sz w:val="19"/>
              </w:rPr>
              <w:t>O sistema também opera fora de software, com uma escada de prova que obriga o verificador a declarar se o critério foi executado, inspecionado ou julgado. É extensão do mesmo princípio — se a prova não vem de graça, ela tem de ser declarada — e vale registro, mas não é a contribuição central deste trabalho.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5.  Convergência independente, e não plágio</w:t>
      </w:r>
    </w:p>
    <w:p>
      <w:pPr>
        <w:spacing w:after="120"/>
        <w:jc w:val="both"/>
      </w:pPr>
      <w:r>
        <w:rPr>
          <w:b w:val="0"/>
          <w:i w:val="0"/>
          <w:sz w:val="20"/>
        </w:rPr>
        <w:t xml:space="preserve">Há sobreposição real com o estado da arte, e ela deve ser declarada sem eufemismo: o termo “fábrica de software” é anterior à era dos modelos de linguagem; papéis especializados de agentes vêm de ChatDev e MetaGPT; portão de qualidade, um commit por unidade de trabalho, modelo diferente por papel e estimativa de custo existem no produto comercial; e </w:t>
      </w:r>
      <w:r>
        <w:rPr>
          <w:b/>
          <w:i w:val="0"/>
          <w:sz w:val="20"/>
        </w:rPr>
        <w:t>agente como processo supervisionado é prática corrente na comunidade Elixir</w:t>
      </w:r>
      <w:r>
        <w:rPr>
          <w:b w:val="0"/>
          <w:i w:val="0"/>
          <w:sz w:val="20"/>
        </w:rPr>
        <w:t>, não invenção deste trabalho. São itens a citar, não a reivindicar.</w:t>
      </w:r>
    </w:p>
    <w:p>
      <w:pPr>
        <w:spacing w:after="120"/>
        <w:jc w:val="both"/>
      </w:pPr>
      <w:r>
        <w:rPr>
          <w:b w:val="0"/>
          <w:i w:val="0"/>
          <w:sz w:val="20"/>
        </w:rPr>
        <w:t>Três argumentos sustentam que a semelhança é convergência, e não cópia:</w:t>
      </w:r>
    </w:p>
    <w:p>
      <w:pPr>
        <w:pStyle w:val="ListBullet"/>
        <w:spacing w:after="60"/>
        <w:ind w:left="397"/>
      </w:pPr>
      <w:r>
        <w:rPr>
          <w:b/>
          <w:sz w:val="20"/>
        </w:rPr>
        <w:t>O mesmo diagnóstico, sob as mesmas restrições, produz mecanismos parecidos.</w:t>
      </w:r>
      <w:r>
        <w:rPr>
          <w:b w:val="0"/>
          <w:sz w:val="20"/>
        </w:rPr>
        <w:t xml:space="preserve"> Quem trata quatro modos de falha conhecidos, sobre a mesma família de modelos e com controle de versão como substrato, chega a portões, a limites de tentativa e a separação de papéis. Convergência aqui é </w:t>
      </w:r>
      <w:r>
        <w:rPr>
          <w:b/>
          <w:sz w:val="20"/>
        </w:rPr>
        <w:t>corroboração do diagnóstico</w:t>
      </w:r>
      <w:r>
        <w:rPr>
          <w:b w:val="0"/>
          <w:sz w:val="20"/>
        </w:rPr>
        <w:t>, e é assim que a literatura costuma tratar resultados independentes que se encontram.</w:t>
      </w:r>
    </w:p>
    <w:p>
      <w:pPr>
        <w:pStyle w:val="ListBullet"/>
        <w:spacing w:after="60"/>
        <w:ind w:left="397"/>
      </w:pPr>
      <w:r>
        <w:rPr>
          <w:b/>
          <w:sz w:val="20"/>
        </w:rPr>
        <w:t>A cronologia mostra derivação, não transcrição.</w:t>
      </w:r>
      <w:r>
        <w:rPr>
          <w:b w:val="0"/>
          <w:sz w:val="20"/>
        </w:rPr>
        <w:t xml:space="preserve"> Os conceitos aparecem no repositório em sequência, cada um depois do incidente que o motivou, ao longo de seis semanas. Um desenho transcrito chega inteiro; este chegou por acúmulo, e a seção 6 mostra o registro.</w:t>
      </w:r>
    </w:p>
    <w:p>
      <w:pPr>
        <w:pStyle w:val="ListBullet"/>
        <w:spacing w:after="60"/>
        <w:ind w:left="397"/>
      </w:pPr>
      <w:r>
        <w:rPr>
          <w:b/>
          <w:sz w:val="20"/>
        </w:rPr>
        <w:t>As soluções divergem onde o problema é o mesmo.</w:t>
      </w:r>
      <w:r>
        <w:rPr>
          <w:b w:val="0"/>
          <w:sz w:val="20"/>
        </w:rPr>
        <w:t xml:space="preserve"> Autoaprovação é atacada por todos; este trabalho é o único que a resolve sem colocar um humano no caminho, e paga por isso com maquinaria própria de limitação de falha. Divergência sob problema comum é o oposto de cópia.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fill="F2F5FA"/>
          </w:tcPr>
          <w:p>
            <w:pPr>
              <w:spacing w:after="0"/>
            </w:pPr>
            <w:r/>
            <w:r>
              <w:rPr>
                <w:b/>
                <w:color w:val="184F95"/>
                <w:sz w:val="17"/>
              </w:rPr>
              <w:t xml:space="preserve">POSICIONAMENTO SUGERIDO  </w:t>
            </w:r>
            <w:r>
              <w:rPr>
                <w:sz w:val="19"/>
              </w:rPr>
              <w:t>O trabalho pode e deve ser apresentado em diálogo com a literatura, e não em oposição a ela: adota o diagnóstico e o vocabulário já estabelecidos, herda mecanismos citados nominalmente, e investiga uma pergunta que os antecessores não fazem — se é possível manter a separação entre construir e aprovar sem operador humano no laço, e o que isso custa. É contribuição incremental declarada, que é o que se espera de um trabalho de conclusão.</w:t>
            </w:r>
          </w:p>
        </w:tc>
      </w:tr>
    </w:tbl>
    <w:p>
      <w:pPr>
        <w:spacing w:after="80"/>
      </w:pPr>
    </w:p>
    <w:p>
      <w:pPr>
        <w:keepNext/>
        <w:spacing w:before="320" w:after="100"/>
      </w:pPr>
      <w:r>
        <w:rPr>
          <w:b/>
          <w:color w:val="184F95"/>
          <w:sz w:val="26"/>
        </w:rPr>
        <w:t>6.  Evidência documental</w:t>
      </w:r>
    </w:p>
    <w:p>
      <w:pPr>
        <w:spacing w:after="120"/>
        <w:jc w:val="both"/>
      </w:pPr>
      <w:r>
        <w:rPr>
          <w:b w:val="0"/>
          <w:i w:val="0"/>
          <w:sz w:val="20"/>
        </w:rPr>
        <w:t>O repositório é público e a verificação é direta. Entre 18 de julho e 28 de agosto de 2026 acumulou 205 commits. Os mecanismos centrais têm commit e data: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24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Commit</w:t>
            </w:r>
          </w:p>
        </w:tc>
        <w:tc>
          <w:tcPr>
            <w:tcW w:type="dxa" w:w="90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Data</w:t>
            </w:r>
          </w:p>
        </w:tc>
        <w:tc>
          <w:tcPr>
            <w:tcW w:type="dxa" w:w="6917"/>
            <w:shd w:val="clear" w:fill="2A78D6"/>
          </w:tcPr>
          <w:p>
            <w:pPr>
              <w:spacing w:after="20"/>
            </w:pPr>
            <w:r/>
            <w:r>
              <w:rPr>
                <w:b/>
                <w:color w:val="FFFFFF"/>
                <w:sz w:val="16"/>
              </w:rPr>
              <w:t>O que registra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8215dbf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Índice denso do projeto no lugar da varredura de arquivos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9d43b61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Doutrina de custo de contexto: o modelo, a medição e as intervenções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f5b8fd4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01/08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Limiar medido de tamanho de tarefa, antes do despacho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1a41ca8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Montador de contexto por papel e teto de custo com parada limpa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91559b8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laço de orquestração vira código testado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8017c41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O pipeline decide sozinho, sem portão de julgamento humano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cdedec2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02/08</w:t>
            </w:r>
          </w:p>
        </w:tc>
        <w:tc>
          <w:tcPr>
            <w:tcW w:type="dxa" w:w="6917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Saneamento passa a consultar o histórico de versões, não as notas</w:t>
            </w:r>
          </w:p>
        </w:tc>
      </w:tr>
      <w:tr>
        <w:tc>
          <w:tcPr>
            <w:tcW w:type="dxa" w:w="124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e0bffee</w:t>
            </w:r>
          </w:p>
        </w:tc>
        <w:tc>
          <w:tcPr>
            <w:tcW w:type="dxa" w:w="90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23/08</w:t>
            </w:r>
          </w:p>
        </w:tc>
        <w:tc>
          <w:tcPr>
            <w:tcW w:type="dxa" w:w="6917"/>
            <w:shd w:val="clear" w:fill="F5F5F2"/>
          </w:tcPr>
          <w:p>
            <w:pPr>
              <w:spacing w:after="20"/>
            </w:pPr>
            <w:r/>
            <w:r>
              <w:rPr>
                <w:b w:val="0"/>
                <w:sz w:val="16"/>
              </w:rPr>
              <w:t>Fechamento do portão nos dois caminhos de saída do construtor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b/>
          <w:color w:val="1A1A1A"/>
          <w:sz w:val="21"/>
        </w:rPr>
        <w:t>Medições que contrariaram a própria hipótese</w:t>
      </w:r>
    </w:p>
    <w:p>
      <w:pPr>
        <w:spacing w:after="120"/>
        <w:jc w:val="both"/>
      </w:pPr>
      <w:r>
        <w:rPr>
          <w:b w:val="0"/>
          <w:i w:val="0"/>
          <w:sz w:val="20"/>
        </w:rPr>
        <w:t>O sinal de que o método é honesto não é a medição que confirma o que já se supunha, e sim a que obriga a mudar de rumo. Quatro casos, todos registrados em commit:</w:t>
      </w:r>
    </w:p>
    <w:p>
      <w:pPr>
        <w:pStyle w:val="ListBullet"/>
        <w:spacing w:after="60"/>
        <w:ind w:left="397"/>
      </w:pPr>
      <w:r>
        <w:rPr>
          <w:b/>
          <w:sz w:val="20"/>
        </w:rPr>
        <w:t>174f0a0 (31/07) — previsões escritas antes da rodada</w:t>
      </w:r>
      <w:r>
        <w:rPr>
          <w:b w:val="0"/>
          <w:sz w:val="20"/>
        </w:rPr>
        <w:t>, para poder confrontá-las com o resultado depois.</w:t>
      </w:r>
    </w:p>
    <w:p>
      <w:pPr>
        <w:pStyle w:val="ListBullet"/>
        <w:spacing w:after="60"/>
        <w:ind w:left="397"/>
      </w:pPr>
      <w:r>
        <w:rPr>
          <w:b/>
          <w:sz w:val="20"/>
        </w:rPr>
        <w:t>696762e (31/07) — um ganho de 12% foi remedido e identificado como ruído</w:t>
      </w:r>
      <w:r>
        <w:rPr>
          <w:b w:val="0"/>
          <w:sz w:val="20"/>
        </w:rPr>
        <w:t>, e a afirmação foi retirada.</w:t>
      </w:r>
    </w:p>
    <w:p>
      <w:pPr>
        <w:pStyle w:val="ListBullet"/>
        <w:spacing w:after="60"/>
        <w:ind w:left="397"/>
      </w:pPr>
      <w:r>
        <w:rPr>
          <w:b/>
          <w:sz w:val="20"/>
        </w:rPr>
        <w:t>dea9e9c (31/07) — a contagem de saída estava cem vezes subestimada</w:t>
      </w:r>
      <w:r>
        <w:rPr>
          <w:b w:val="0"/>
          <w:sz w:val="20"/>
        </w:rPr>
        <w:t>. O instrumento estava errado, e foi corrigido antes de qualquer conclusão.</w:t>
      </w:r>
    </w:p>
    <w:p>
      <w:pPr>
        <w:pStyle w:val="ListBullet"/>
        <w:spacing w:after="60"/>
        <w:ind w:left="397"/>
      </w:pPr>
      <w:r>
        <w:rPr>
          <w:b/>
          <w:sz w:val="20"/>
        </w:rPr>
        <w:t>e8974c5 (21/08) — hipótese de gargalo avaliada e descartada</w:t>
      </w:r>
      <w:r>
        <w:rPr>
          <w:b w:val="0"/>
          <w:sz w:val="20"/>
        </w:rPr>
        <w:t>: supunha-se que o portão de verificação limitaria a vazão; medido sobre quarenta e três rodadas, houve zero segundo de espera, e a otimização já desenhada foi abandonada.</w:t>
      </w:r>
    </w:p>
    <w:p>
      <w:pPr>
        <w:keepNext/>
        <w:spacing w:before="200" w:after="60"/>
      </w:pPr>
      <w:r>
        <w:rPr>
          <w:b/>
          <w:color w:val="1A1A1A"/>
          <w:sz w:val="21"/>
        </w:rPr>
        <w:t>Operação real</w:t>
      </w:r>
    </w:p>
    <w:p>
      <w:pPr>
        <w:spacing w:after="120"/>
        <w:jc w:val="both"/>
      </w:pPr>
      <w:r>
        <w:rPr>
          <w:b w:val="0"/>
          <w:i w:val="0"/>
          <w:sz w:val="20"/>
        </w:rPr>
        <w:t>A primeira versão entregou 86 tarefas concluídas de 89, em três projetos de domínios distintos — um jogo de tabuleiro em versão web multijogador em tempo real; um serviço permanente embarcado no computador de placa única que controla uma impressora 3D; e uma plataforma de dados com camada de análise por modelos de linguagem. São 139 execuções gravadas, com tokens, custo, modelo e desfecho, preservadas no repositório.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7.  Encaminhamento</w:t>
      </w:r>
    </w:p>
    <w:p>
      <w:pPr>
        <w:pStyle w:val="ListBullet"/>
        <w:spacing w:after="60"/>
        <w:ind w:left="397"/>
      </w:pPr>
      <w:r>
        <w:rPr>
          <w:b/>
          <w:sz w:val="20"/>
        </w:rPr>
        <w:t>Escrever a seção de trabalhos relacionados e citar antes de ser questionado</w:t>
      </w:r>
      <w:r>
        <w:rPr>
          <w:b w:val="0"/>
          <w:sz w:val="20"/>
        </w:rPr>
        <w:t>: ChatDev e MetaGPT pelos papéis; softwarefabrik.io e Factory.ai pela fábrica agêntica; Cortex, Sagents, SwarmEx e Synapse pelo agente como processo supervisionado; Cusumano pelo termo.</w:t>
      </w:r>
    </w:p>
    <w:p>
      <w:pPr>
        <w:pStyle w:val="ListBullet"/>
        <w:spacing w:after="60"/>
        <w:ind w:left="397"/>
      </w:pPr>
      <w:r>
        <w:rPr>
          <w:b/>
          <w:sz w:val="20"/>
        </w:rPr>
        <w:t>Enunciar a contribuição pela pergunta, não pelo artefato</w:t>
      </w:r>
      <w:r>
        <w:rPr>
          <w:b w:val="0"/>
          <w:sz w:val="20"/>
        </w:rPr>
        <w:t>: não “construí uma fábrica de software multi-agente”, e sim “investiguei se a separação entre construir e aprovar se sustenta sem operador humano no laço, e medi o que isso custa”.</w:t>
      </w:r>
    </w:p>
    <w:p>
      <w:pPr>
        <w:pStyle w:val="ListBullet"/>
        <w:spacing w:after="60"/>
        <w:ind w:left="397"/>
      </w:pPr>
      <w:r>
        <w:rPr>
          <w:b/>
          <w:sz w:val="20"/>
        </w:rPr>
        <w:t>Apresentar a derivação da seção 2 como método</w:t>
      </w:r>
      <w:r>
        <w:rPr>
          <w:b w:val="0"/>
          <w:sz w:val="20"/>
        </w:rPr>
        <w:t>. Um desenho em que cada mecanismo se liga a um modo de falha nomeado é defensável de forma que uma lista de funcionalidades não é.</w:t>
      </w:r>
    </w:p>
    <w:p>
      <w:pPr>
        <w:keepNext/>
        <w:spacing w:before="320" w:after="100"/>
      </w:pPr>
      <w:r>
        <w:rPr>
          <w:b/>
          <w:color w:val="184F95"/>
          <w:sz w:val="26"/>
        </w:rPr>
        <w:t>Referências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CUSUMANO, M. Japan's Software Factories. Oxford University Press, 1991.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QIAN, C. et al. ChatDev: Communicative Agents for Software Development. arXiv:2307.07924, 2023.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HONG, S. et al. MetaGPT: Meta Programming for Multi-Agent Collaborative Framework, 2023.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JANDA, M. Agentic Software Factory (softwarefabrik.io), v0.30.0, 2026.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Factory.ai. Factory 2.0: from coding agents to software factories.</w:t>
      </w:r>
    </w:p>
    <w:p>
      <w:pPr>
        <w:pStyle w:val="ListBullet"/>
        <w:spacing w:after="60"/>
        <w:ind w:left="397"/>
      </w:pPr>
      <w:r>
        <w:rPr>
          <w:b w:val="0"/>
          <w:sz w:val="18"/>
        </w:rPr>
        <w:t>Cortex (github.com/itsHabib/cortex) e Sagents (github.com/sagents-ai/sagents) — orquestração de agentes em Elixir/OTP.</w:t>
      </w:r>
    </w:p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