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Este trabalho × softwarefabrik.io</w:t>
      </w:r>
    </w:p>
    <w:p>
      <w:pPr>
        <w:spacing w:after="80"/>
      </w:pPr>
      <w:r>
        <w:rPr>
          <w:color w:val="555B66"/>
          <w:sz w:val="23"/>
        </w:rPr>
        <w:t>Comparação arquitetural com o sistema mais próximo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p>
      <w:pPr>
        <w:spacing w:after="120"/>
        <w:jc w:val="both"/>
      </w:pPr>
      <w:r>
        <w:rPr>
          <w:b w:val="0"/>
          <w:i w:val="0"/>
          <w:sz w:val="20"/>
        </w:rPr>
        <w:t>Entre os sistemas multi-agente que constroem software, o softwarefabrik.io é o mais próximo deste trabalho: é o único outro que tira o estado de dentro da conversa e o guarda em disco. Por isso a comparação é com ele. ChatDev e MetaGPT ficam ao fim, para situar.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1.  As duas arquiteturas, em fluxo</w:t>
      </w:r>
    </w:p>
    <w:p>
      <w:pPr>
        <w:keepNext/>
        <w:spacing w:before="160" w:after="60"/>
      </w:pPr>
      <w:r>
        <w:rPr>
          <w:b/>
          <w:color w:val="184F95"/>
          <w:sz w:val="19"/>
        </w:rPr>
        <w:t>softwarefabrik.io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>
        <w:tc>
          <w:tcPr>
            <w:tcW w:type="dxa" w:w="151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pedido no assistente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51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execução em contêiner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51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comitê de 6 revisores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510"/>
            <w:shd w:val="clear" w:fill="D6E6FA"/>
          </w:tcPr>
          <w:p>
            <w:pPr>
              <w:spacing w:after="20"/>
              <w:jc w:val="center"/>
            </w:pPr>
            <w:r/>
            <w:r>
              <w:rPr>
                <w:b/>
                <w:color w:val="184F95"/>
                <w:sz w:val="16"/>
              </w:rPr>
              <w:t>PESSOA APROVA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51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commit</w:t>
            </w:r>
          </w:p>
        </w:tc>
      </w:tr>
    </w:tbl>
    <w:p>
      <w:pPr>
        <w:spacing w:after="180" w:before="20"/>
      </w:pPr>
      <w:r>
        <w:rPr>
          <w:i/>
          <w:color w:val="555B66"/>
          <w:sz w:val="16"/>
        </w:rPr>
        <w:t>A execução inteira é a unidade. O comitê prepara a decisão; quem decide é a pessoa — e sem ela o fluxo não avança.</w:t>
      </w:r>
    </w:p>
    <w:p>
      <w:pPr>
        <w:keepNext/>
        <w:spacing w:before="160" w:after="60"/>
      </w:pPr>
      <w:r>
        <w:rPr>
          <w:b/>
          <w:color w:val="184F95"/>
          <w:sz w:val="19"/>
        </w:rPr>
        <w:t>Este trabalho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120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pedido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200"/>
            <w:shd w:val="clear" w:fill="D6E6FA"/>
          </w:tcPr>
          <w:p>
            <w:pPr>
              <w:spacing w:after="20"/>
              <w:jc w:val="center"/>
            </w:pPr>
            <w:r/>
            <w:r>
              <w:rPr>
                <w:b/>
                <w:color w:val="184F95"/>
                <w:sz w:val="16"/>
              </w:rPr>
              <w:t>plano e fila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20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construtor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20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verificador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20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revisor</w:t>
            </w:r>
          </w:p>
        </w:tc>
        <w:tc>
          <w:tcPr>
            <w:tcW w:type="dxa" w:w="351"/>
          </w:tcPr>
          <w:p>
            <w:pPr>
              <w:spacing w:after="20"/>
              <w:jc w:val="center"/>
            </w:pPr>
            <w:r/>
            <w:r>
              <w:rPr>
                <w:color w:val="555B66"/>
                <w:sz w:val="18"/>
              </w:rPr>
              <w:t>→</w:t>
            </w:r>
          </w:p>
        </w:tc>
        <w:tc>
          <w:tcPr>
            <w:tcW w:type="dxa" w:w="1200"/>
            <w:shd w:val="clear" w:fill="E8EFF9"/>
          </w:tcPr>
          <w:p>
            <w:pPr>
              <w:spacing w:after="20"/>
              <w:jc w:val="center"/>
            </w:pPr>
            <w:r/>
            <w:r>
              <w:rPr>
                <w:b w:val="0"/>
                <w:color w:val="1A1A1A"/>
                <w:sz w:val="16"/>
              </w:rPr>
              <w:t>commit</w:t>
            </w:r>
          </w:p>
        </w:tc>
      </w:tr>
    </w:tbl>
    <w:p>
      <w:pPr>
        <w:spacing w:after="180" w:before="20"/>
      </w:pPr>
      <w:r>
        <w:rPr>
          <w:i/>
          <w:color w:val="555B66"/>
          <w:sz w:val="16"/>
        </w:rPr>
        <w:t>A tarefa é a unidade, e ela tem estado próprio. Reprovada, volta ao construtor: 3 ciclos, e a cada volta o sistema muda de estratégia — sobe de modelo, troca de especialista, redivide a tarefa. Ninguém precisa estar presente.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2.  Linha a linha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022"/>
            <w:shd w:val="clear" w:fill="E3F3E7"/>
          </w:tcPr>
          <w:p>
            <w:pPr>
              <w:spacing w:after="20"/>
              <w:jc w:val="center"/>
            </w:pPr>
            <w:r/>
            <w:r>
              <w:rPr>
                <w:b/>
                <w:color w:val="1B6B33"/>
                <w:sz w:val="16"/>
              </w:rPr>
              <w:t xml:space="preserve">IGUAL  </w:t>
            </w:r>
            <w:r>
              <w:rPr>
                <w:color w:val="1B6B33"/>
                <w:sz w:val="16"/>
              </w:rPr>
              <w:t>mesma escolha</w:t>
            </w:r>
          </w:p>
        </w:tc>
        <w:tc>
          <w:tcPr>
            <w:tcW w:type="dxa" w:w="3022"/>
            <w:shd w:val="clear" w:fill="FDF3D6"/>
          </w:tcPr>
          <w:p>
            <w:pPr>
              <w:spacing w:after="20"/>
              <w:jc w:val="center"/>
            </w:pPr>
            <w:r/>
            <w:r>
              <w:rPr>
                <w:b/>
                <w:color w:val="8A5D00"/>
                <w:sz w:val="16"/>
              </w:rPr>
              <w:t xml:space="preserve">PARCIAL  </w:t>
            </w:r>
            <w:r>
              <w:rPr>
                <w:color w:val="8A5D00"/>
                <w:sz w:val="16"/>
              </w:rPr>
              <w:t>mesma intenção, outro meio</w:t>
            </w:r>
          </w:p>
        </w:tc>
        <w:tc>
          <w:tcPr>
            <w:tcW w:type="dxa" w:w="3022"/>
            <w:shd w:val="clear" w:fill="FBE4E2"/>
          </w:tcPr>
          <w:p>
            <w:pPr>
              <w:spacing w:after="20"/>
              <w:jc w:val="center"/>
            </w:pPr>
            <w:r/>
            <w:r>
              <w:rPr>
                <w:b/>
                <w:color w:val="A82A21"/>
                <w:sz w:val="16"/>
              </w:rPr>
              <w:t xml:space="preserve">DIFERE  </w:t>
            </w:r>
            <w:r>
              <w:rPr>
                <w:color w:val="A82A21"/>
                <w:sz w:val="16"/>
              </w:rPr>
              <w:t>escolha oposta</w:t>
            </w:r>
          </w:p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cantSplit/>
        </w:trPr>
        <w:tc>
          <w:tcPr>
            <w:tcW w:type="dxa" w:w="107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Dimensão arquitetural</w:t>
            </w:r>
          </w:p>
        </w:tc>
        <w:tc>
          <w:tcPr>
            <w:tcW w:type="dxa" w:w="300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softwarefabrik.io</w:t>
            </w:r>
          </w:p>
        </w:tc>
        <w:tc>
          <w:tcPr>
            <w:tcW w:type="dxa" w:w="300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Este trabalho</w:t>
            </w:r>
          </w:p>
        </w:tc>
      </w:tr>
      <w:tr>
        <w:trPr>
          <w:cantSplit/>
        </w:trPr>
        <w:tc>
          <w:tcPr>
            <w:tcW w:type="dxa" w:w="1077"/>
            <w:shd w:val="clear" w:fill="E3F3E7"/>
          </w:tcPr>
          <w:p>
            <w:pPr>
              <w:spacing w:after="20"/>
              <w:jc w:val="center"/>
            </w:pPr>
            <w:r/>
            <w:r>
              <w:rPr>
                <w:b/>
                <w:color w:val="1B6B33"/>
                <w:sz w:val="15"/>
              </w:rPr>
              <w:t>IGUAL</w:t>
            </w:r>
          </w:p>
        </w:tc>
        <w:tc>
          <w:tcPr>
            <w:tcW w:type="dxa" w:w="1871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Papéis especializados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Papéis distintos para produzir e para revisar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Papéis distintos: planejador, construtor, verificador, revisor</w:t>
            </w:r>
          </w:p>
        </w:tc>
      </w:tr>
      <w:tr>
        <w:trPr>
          <w:cantSplit/>
        </w:trPr>
        <w:tc>
          <w:tcPr>
            <w:tcW w:type="dxa" w:w="1077"/>
            <w:shd w:val="clear" w:fill="E3F3E7"/>
          </w:tcPr>
          <w:p>
            <w:pPr>
              <w:spacing w:after="20"/>
              <w:jc w:val="center"/>
            </w:pPr>
            <w:r/>
            <w:r>
              <w:rPr>
                <w:b/>
                <w:color w:val="1B6B33"/>
                <w:sz w:val="15"/>
              </w:rPr>
              <w:t>IGUAL</w:t>
            </w:r>
          </w:p>
        </w:tc>
        <w:tc>
          <w:tcPr>
            <w:tcW w:type="dxa" w:w="1871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Decomposição antes de executar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assistente traduz o pedido em plano antes da execução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planejador traduz o pedido em plano e tarefas antes da execução</w:t>
            </w:r>
          </w:p>
        </w:tc>
      </w:tr>
      <w:tr>
        <w:trPr>
          <w:cantSplit/>
        </w:trPr>
        <w:tc>
          <w:tcPr>
            <w:tcW w:type="dxa" w:w="1077"/>
            <w:shd w:val="clear" w:fill="E3F3E7"/>
          </w:tcPr>
          <w:p>
            <w:pPr>
              <w:spacing w:after="20"/>
              <w:jc w:val="center"/>
            </w:pPr>
            <w:r/>
            <w:r>
              <w:rPr>
                <w:b/>
                <w:color w:val="1B6B33"/>
                <w:sz w:val="15"/>
              </w:rPr>
              <w:t>IGUAL</w:t>
            </w:r>
          </w:p>
        </w:tc>
        <w:tc>
          <w:tcPr>
            <w:tcW w:type="dxa" w:w="1871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produz não aprova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comitê de revisores não escreve o código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Verificador e revisor não escrevem o código</w:t>
            </w:r>
          </w:p>
        </w:tc>
      </w:tr>
      <w:tr>
        <w:trPr>
          <w:cantSplit/>
        </w:trPr>
        <w:tc>
          <w:tcPr>
            <w:tcW w:type="dxa" w:w="1077"/>
            <w:shd w:val="clear" w:fill="E3F3E7"/>
          </w:tcPr>
          <w:p>
            <w:pPr>
              <w:spacing w:after="20"/>
              <w:jc w:val="center"/>
            </w:pPr>
            <w:r/>
            <w:r>
              <w:rPr>
                <w:b/>
                <w:color w:val="1B6B33"/>
                <w:sz w:val="15"/>
              </w:rPr>
              <w:t>IGUAL</w:t>
            </w:r>
          </w:p>
        </w:tc>
        <w:tc>
          <w:tcPr>
            <w:tcW w:type="dxa" w:w="1871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Artefato versionado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Git no espaço de trabalho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Git por projeto, um commit por tarefa</w:t>
            </w:r>
          </w:p>
        </w:tc>
      </w:tr>
      <w:tr>
        <w:trPr>
          <w:cantSplit/>
        </w:trPr>
        <w:tc>
          <w:tcPr>
            <w:tcW w:type="dxa" w:w="1077"/>
            <w:shd w:val="clear" w:fill="E3F3E7"/>
          </w:tcPr>
          <w:p>
            <w:pPr>
              <w:spacing w:after="20"/>
              <w:jc w:val="center"/>
            </w:pPr>
            <w:r/>
            <w:r>
              <w:rPr>
                <w:b/>
                <w:color w:val="1B6B33"/>
                <w:sz w:val="15"/>
              </w:rPr>
              <w:t>IGUAL</w:t>
            </w:r>
          </w:p>
        </w:tc>
        <w:tc>
          <w:tcPr>
            <w:tcW w:type="dxa" w:w="1871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Execução confinada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Contêiner por execução</w:t>
            </w:r>
          </w:p>
        </w:tc>
        <w:tc>
          <w:tcPr>
            <w:tcW w:type="dxa" w:w="3005"/>
            <w:shd w:val="clear" w:fill="F2F9F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Confinamento ao diretório do projeto</w:t>
            </w:r>
          </w:p>
        </w:tc>
      </w:tr>
      <w:tr>
        <w:trPr>
          <w:cantSplit/>
        </w:trPr>
        <w:tc>
          <w:tcPr>
            <w:tcW w:type="dxa" w:w="1077"/>
            <w:shd w:val="clear" w:fill="FDF3D6"/>
          </w:tcPr>
          <w:p>
            <w:pPr>
              <w:spacing w:after="20"/>
              <w:jc w:val="center"/>
            </w:pPr>
            <w:r/>
            <w:r>
              <w:rPr>
                <w:b/>
                <w:color w:val="8A5D00"/>
                <w:sz w:val="15"/>
              </w:rPr>
              <w:t>PARCIAL</w:t>
            </w:r>
          </w:p>
        </w:tc>
        <w:tc>
          <w:tcPr>
            <w:tcW w:type="dxa" w:w="1871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Onde vive o estado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Fora da conversa: espaço de trabalho versionado, mais o estado de espera pela aprovação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Fora da conversa também — mas por TAREFA: em que ponto do pipeline está, de quem depende, quantas vezes já falhou</w:t>
            </w:r>
          </w:p>
        </w:tc>
      </w:tr>
      <w:tr>
        <w:trPr>
          <w:cantSplit/>
        </w:trPr>
        <w:tc>
          <w:tcPr>
            <w:tcW w:type="dxa" w:w="1077"/>
            <w:shd w:val="clear" w:fill="FDF3D6"/>
          </w:tcPr>
          <w:p>
            <w:pPr>
              <w:spacing w:after="20"/>
              <w:jc w:val="center"/>
            </w:pPr>
            <w:r/>
            <w:r>
              <w:rPr>
                <w:b/>
                <w:color w:val="8A5D00"/>
                <w:sz w:val="15"/>
              </w:rPr>
              <w:t>PARCIAL</w:t>
            </w:r>
          </w:p>
        </w:tc>
        <w:tc>
          <w:tcPr>
            <w:tcW w:type="dxa" w:w="1871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 onde vem a especialização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Escolhida de um catálogo de modelos de stack, definido antes do pedido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Sintetizada do próprio pedido: uma equipe nova, declarada por projeto</w:t>
            </w:r>
          </w:p>
        </w:tc>
      </w:tr>
      <w:tr>
        <w:trPr>
          <w:cantSplit/>
        </w:trPr>
        <w:tc>
          <w:tcPr>
            <w:tcW w:type="dxa" w:w="1077"/>
            <w:shd w:val="clear" w:fill="FDF3D6"/>
          </w:tcPr>
          <w:p>
            <w:pPr>
              <w:spacing w:after="20"/>
              <w:jc w:val="center"/>
            </w:pPr>
            <w:r/>
            <w:r>
              <w:rPr>
                <w:b/>
                <w:color w:val="8A5D00"/>
                <w:sz w:val="15"/>
              </w:rPr>
              <w:t>PARCIAL</w:t>
            </w:r>
          </w:p>
        </w:tc>
        <w:tc>
          <w:tcPr>
            <w:tcW w:type="dxa" w:w="1871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Isolamento entre trabalhos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Físico: um contêiner por execução, uma execução por vez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Lógico: cada tarefa declara os arquivos que toca; até três em paralelo se não se cruzam</w:t>
            </w:r>
          </w:p>
        </w:tc>
      </w:tr>
      <w:tr>
        <w:trPr>
          <w:cantSplit/>
        </w:trPr>
        <w:tc>
          <w:tcPr>
            <w:tcW w:type="dxa" w:w="1077"/>
            <w:shd w:val="clear" w:fill="FDF3D6"/>
          </w:tcPr>
          <w:p>
            <w:pPr>
              <w:spacing w:after="20"/>
              <w:jc w:val="center"/>
            </w:pPr>
            <w:r/>
            <w:r>
              <w:rPr>
                <w:b/>
                <w:color w:val="8A5D00"/>
                <w:sz w:val="15"/>
              </w:rPr>
              <w:t>PARCIAL</w:t>
            </w:r>
          </w:p>
        </w:tc>
        <w:tc>
          <w:tcPr>
            <w:tcW w:type="dxa" w:w="1871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Limite de repetição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Existe, mas quem corta é a pessoa</w:t>
            </w:r>
          </w:p>
        </w:tc>
        <w:tc>
          <w:tcPr>
            <w:tcW w:type="dxa" w:w="3005"/>
            <w:shd w:val="clear" w:fill="FDF3D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Contado pelo sistema: 3 ciclos por tarefa, verificados em código</w:t>
            </w:r>
          </w:p>
        </w:tc>
      </w:tr>
      <w:tr>
        <w:trPr>
          <w:cantSplit/>
        </w:trPr>
        <w:tc>
          <w:tcPr>
            <w:tcW w:type="dxa" w:w="1077"/>
            <w:shd w:val="clear" w:fill="FBE4E2"/>
          </w:tcPr>
          <w:p>
            <w:pPr>
              <w:spacing w:after="20"/>
              <w:jc w:val="center"/>
            </w:pPr>
            <w:r/>
            <w:r>
              <w:rPr>
                <w:b/>
                <w:color w:val="A82A21"/>
                <w:sz w:val="15"/>
              </w:rPr>
              <w:t>DIFERE</w:t>
            </w:r>
          </w:p>
        </w:tc>
        <w:tc>
          <w:tcPr>
            <w:tcW w:type="dxa" w:w="1871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fecha o laço de controle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operador humano: nada avança sem aprovação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Código: uma máquina de estados lê dependências e estados e monta a fila</w:t>
            </w:r>
          </w:p>
        </w:tc>
      </w:tr>
      <w:tr>
        <w:trPr>
          <w:cantSplit/>
        </w:trPr>
        <w:tc>
          <w:tcPr>
            <w:tcW w:type="dxa" w:w="1077"/>
            <w:shd w:val="clear" w:fill="FBE4E2"/>
          </w:tcPr>
          <w:p>
            <w:pPr>
              <w:spacing w:after="20"/>
              <w:jc w:val="center"/>
            </w:pPr>
            <w:r/>
            <w:r>
              <w:rPr>
                <w:b/>
                <w:color w:val="A82A21"/>
                <w:sz w:val="15"/>
              </w:rPr>
              <w:t>DIFERE</w:t>
            </w:r>
          </w:p>
        </w:tc>
        <w:tc>
          <w:tcPr>
            <w:tcW w:type="dxa" w:w="1871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Unidade de trabalho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execução — um ciclo sobre o projeto, que termina e se encerra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tarefa — entidade nomeada, com estado próprio, que sobrevive à sessão</w:t>
            </w:r>
          </w:p>
        </w:tc>
      </w:tr>
      <w:tr>
        <w:trPr>
          <w:cantSplit/>
        </w:trPr>
        <w:tc>
          <w:tcPr>
            <w:tcW w:type="dxa" w:w="1077"/>
            <w:shd w:val="clear" w:fill="FBE4E2"/>
          </w:tcPr>
          <w:p>
            <w:pPr>
              <w:spacing w:after="20"/>
              <w:jc w:val="center"/>
            </w:pPr>
            <w:r/>
            <w:r>
              <w:rPr>
                <w:b/>
                <w:color w:val="A82A21"/>
                <w:sz w:val="15"/>
              </w:rPr>
              <w:t>DIFERE</w:t>
            </w:r>
          </w:p>
        </w:tc>
        <w:tc>
          <w:tcPr>
            <w:tcW w:type="dxa" w:w="1871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Como a autoridade é imposta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Pela interface: o portão de aprovação, com a pessoa atrás dele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Pela ferramenta: o revisor não recebe a ferramenta de escrever</w:t>
            </w:r>
          </w:p>
        </w:tc>
      </w:tr>
      <w:tr>
        <w:trPr>
          <w:cantSplit/>
        </w:trPr>
        <w:tc>
          <w:tcPr>
            <w:tcW w:type="dxa" w:w="1077"/>
            <w:shd w:val="clear" w:fill="FBE4E2"/>
          </w:tcPr>
          <w:p>
            <w:pPr>
              <w:spacing w:after="20"/>
              <w:jc w:val="center"/>
            </w:pPr>
            <w:r/>
            <w:r>
              <w:rPr>
                <w:b/>
                <w:color w:val="A82A21"/>
                <w:sz w:val="15"/>
              </w:rPr>
              <w:t>DIFERE</w:t>
            </w:r>
          </w:p>
        </w:tc>
        <w:tc>
          <w:tcPr>
            <w:tcW w:type="dxa" w:w="1871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Resposta ao fracasso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Devolvida à pessoa, que aprova, rejeita ou intervém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Escada automática: sobe de modelo, troca de especialista, redivide a tarefa, e só então bloqueia</w:t>
            </w:r>
          </w:p>
        </w:tc>
      </w:tr>
      <w:tr>
        <w:trPr>
          <w:cantSplit/>
        </w:trPr>
        <w:tc>
          <w:tcPr>
            <w:tcW w:type="dxa" w:w="1077"/>
            <w:shd w:val="clear" w:fill="FBE4E2"/>
          </w:tcPr>
          <w:p>
            <w:pPr>
              <w:spacing w:after="20"/>
              <w:jc w:val="center"/>
            </w:pPr>
            <w:r/>
            <w:r>
              <w:rPr>
                <w:b/>
                <w:color w:val="A82A21"/>
                <w:sz w:val="15"/>
              </w:rPr>
              <w:t>DIFERE</w:t>
            </w:r>
          </w:p>
        </w:tc>
        <w:tc>
          <w:tcPr>
            <w:tcW w:type="dxa" w:w="1871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Alcance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Software, sobre o catálogo de stacks</w:t>
            </w:r>
          </w:p>
        </w:tc>
        <w:tc>
          <w:tcPr>
            <w:tcW w:type="dxa" w:w="3005"/>
            <w:shd w:val="clear" w:fill="FBE4E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Qualquer artefato: o domínio declarado roteia trilhas distintas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3.  As três diferenças que decidem tudo</w:t>
      </w:r>
    </w:p>
    <w:p>
      <w:pPr>
        <w:pStyle w:val="ListBullet"/>
        <w:spacing w:after="60"/>
        <w:ind w:left="397"/>
      </w:pPr>
      <w:r>
        <w:rPr>
          <w:b/>
          <w:sz w:val="19"/>
        </w:rPr>
        <w:t>O laço de controle.</w:t>
      </w:r>
      <w:r>
        <w:rPr>
          <w:b w:val="0"/>
          <w:sz w:val="19"/>
        </w:rPr>
        <w:t xml:space="preserve"> No softwarefabrik o avanço é uma decisão humana: o comitê prepara o parecer, e a pessoa aprova. Aqui é derivado por código — a máquina de estados lê as dependências e o estado de cada tarefa e monta a fila sozinha. Não é a mesma arquitetura com um botão a menos: sem ninguém para interromper, o sistema precisa contar os próprios fracassos, e é daí que vem todo o resto.</w:t>
      </w:r>
    </w:p>
    <w:p>
      <w:pPr>
        <w:pStyle w:val="ListBullet"/>
        <w:spacing w:after="60"/>
        <w:ind w:left="397"/>
      </w:pPr>
      <w:r>
        <w:rPr>
          <w:b/>
          <w:sz w:val="19"/>
        </w:rPr>
        <w:t>A unidade de trabalho.</w:t>
      </w:r>
      <w:r>
        <w:rPr>
          <w:b w:val="0"/>
          <w:sz w:val="19"/>
        </w:rPr>
        <w:t xml:space="preserve"> Lá, a unidade é a execução: um ciclo sobre o projeto, que começa, termina e se encerra. Aqui, é a tarefa — entidade nomeada, com estado, dependências e arquivos declarados, que existe em arquivo antes e depois da execução. É essa granularidade que permite retomar no meio, paralelizar e redividir o que falhou.</w:t>
      </w:r>
    </w:p>
    <w:p>
      <w:pPr>
        <w:pStyle w:val="ListBullet"/>
        <w:spacing w:after="60"/>
        <w:ind w:left="397"/>
      </w:pPr>
      <w:r>
        <w:rPr>
          <w:b/>
          <w:sz w:val="19"/>
        </w:rPr>
        <w:t>A forma de impor a autoridade.</w:t>
      </w:r>
      <w:r>
        <w:rPr>
          <w:b w:val="0"/>
          <w:sz w:val="19"/>
        </w:rPr>
        <w:t xml:space="preserve"> Os dois querem a mesma coisa: que quem revisa não conserte por conta própria, escondendo o defeito em vez de reportá-lo. O softwarefabrik garante pela interface, com a pessoa atrás do portão; aqui, pela ausência da ferramenta — o revisor não deixa de corrigir porque foi instruído a não corrigir, mas porque a ação não existe para ele.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As três se somam num único ponto: o softwarefabrik é a arquitetura mais próxima justamente porque também tira o estado da conversa — e se separa dela porque </w:t>
      </w:r>
      <w:r>
        <w:rPr>
          <w:b/>
          <w:i w:val="0"/>
          <w:sz w:val="20"/>
        </w:rPr>
        <w:t>mantém a pessoa dentro do laço</w:t>
      </w:r>
      <w:r>
        <w:rPr>
          <w:b w:val="0"/>
          <w:i w:val="0"/>
          <w:sz w:val="20"/>
        </w:rPr>
        <w:t>. Este trabalho tira a pessoa do laço sem perder a separação entre construir e aprovar, e paga esse preço com a maquinaria que os outros não precisam ter: contagem de ciclos, escalonamento de modelo, troca de especialista e redivisão automática de tarefa.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4.  Para situar: ChatDev e MetaGPT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170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Sistema</w:t>
            </w:r>
          </w:p>
        </w:tc>
        <w:tc>
          <w:tcPr>
            <w:tcW w:type="dxa" w:w="294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Fluxo</w:t>
            </w:r>
          </w:p>
        </w:tc>
        <w:tc>
          <w:tcPr>
            <w:tcW w:type="dxa" w:w="4422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A forma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ChatDev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fase → dupla conversa → fase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Cascata de fases. Dentro de cada uma, duas agentes conversam até fechar a subtarefa.</w:t>
            </w:r>
          </w:p>
        </w:tc>
      </w:tr>
      <w:tr>
        <w:trPr>
          <w:cantSplit/>
        </w:trP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MetaGPT</w:t>
            </w:r>
          </w:p>
        </w:tc>
        <w:tc>
          <w:tcPr>
            <w:tcW w:type="dxa" w:w="294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papel → quadro → papel</w:t>
            </w:r>
          </w:p>
        </w:tc>
        <w:tc>
          <w:tcPr>
            <w:tcW w:type="dxa" w:w="4422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Quadro de avisos. Ninguém fala com ninguém: cada papel publica o que produziu e lê o que lhe interessa.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Os dois guardam o estado dentro da execução — no diálogo, no caso do ChatDev; num quadro de mensagens em memória, no do MetaGPT. Quando a execução termina, não há a que voltar. É isso que os afasta tanto deste trabalho quanto do softwarefabrik, e que torna o confronto acima o único realmente informativo.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5.  Registro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Decisão arquitetural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contexto entregue a um agente passa a ser função do papel dele, e não do projeto</w:t>
            </w:r>
          </w:p>
        </w:tc>
      </w:tr>
      <w:tr>
        <w:trPr>
          <w:cantSplit/>
        </w:trP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laço de coordenação sai do modelo e vira código testado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avanço entre tarefas deixa de depender de julgamento humano</w:t>
            </w:r>
          </w:p>
        </w:tc>
      </w:tr>
      <w:tr>
        <w:trPr>
          <w:cantSplit/>
        </w:trP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e0bffee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23/08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portão de verificação é fechado nos dois caminhos de saída do construtor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As decisões têm data e commit no repositório público, e aparecem em sequência ao longo de seis semanas, cada uma depois do problema que a motivou. Em operação, a primeira versão entregou 86 tarefas concluídas de 89, em três projetos de domínios distintos.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