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84F95"/>
          <w:sz w:val="42"/>
        </w:rPr>
        <w:t>Arquitetura comparada</w:t>
      </w:r>
    </w:p>
    <w:p>
      <w:pPr>
        <w:spacing w:after="80"/>
      </w:pPr>
      <w:r>
        <w:rPr>
          <w:color w:val="555B66"/>
          <w:sz w:val="23"/>
        </w:rPr>
        <w:t>Fábrica de software multi-agente — este trabalho e os sistemas correlatos</w:t>
      </w:r>
    </w:p>
    <w:p>
      <w:pPr>
        <w:spacing w:after="280"/>
        <w:pBdr>
          <w:bottom w:val="single" w:sz="6" w:color="C9D1DD" w:space="3"/>
        </w:pBdr>
      </w:pPr>
      <w:r>
        <w:rPr>
          <w:color w:val="555B66"/>
          <w:sz w:val="17"/>
        </w:rPr>
        <w:t>Enzo Consulo  ·  29 de agosto de 2026  ·  repositório público: github.com/enzoconsulo/Generic-Multi-Agents</w:t>
      </w:r>
    </w:p>
    <w:p>
      <w:pPr>
        <w:spacing w:after="120"/>
        <w:jc w:val="both"/>
      </w:pPr>
      <w:r>
        <w:rPr>
          <w:b w:val="0"/>
          <w:i w:val="0"/>
          <w:sz w:val="20"/>
        </w:rPr>
        <w:t>Quatro sistemas que constroem software com múltiplos agentes, comparados pela arquitetura. O documento responde, nesta ordem: o que essas arquiteturas têm em comum, o que as separa, e — em detalhe — onde este trabalho se afasta do softwarefabrik.io, que é o vizinho mais próximo. Ferramentas, linguagens e custos ficam de fora de propósito: são consequência das escolhas abaixo, não causa.</w:t>
      </w:r>
    </w:p>
    <w:p>
      <w:pPr>
        <w:keepNext/>
        <w:spacing w:before="320" w:after="100"/>
      </w:pPr>
      <w:r>
        <w:rPr>
          <w:b/>
          <w:color w:val="184F95"/>
          <w:sz w:val="26"/>
        </w:rPr>
        <w:t>1.  Os quatro sistemas, em fluxo</w:t>
      </w:r>
    </w:p>
    <w:p>
      <w:pPr>
        <w:pStyle w:val="ListBullet"/>
        <w:spacing w:after="60"/>
        <w:ind w:left="397"/>
      </w:pPr>
      <w:r>
        <w:rPr>
          <w:b/>
          <w:sz w:val="20"/>
        </w:rPr>
        <w:t>ChatDev</w:t>
      </w:r>
      <w:r>
        <w:rPr>
          <w:b w:val="0"/>
          <w:sz w:val="20"/>
        </w:rPr>
        <w:t xml:space="preserve"> — arXiv:2307.07924, 2023</w:t>
      </w:r>
    </w:p>
    <w:p>
      <w:pPr>
        <w:pStyle w:val="ListBullet"/>
        <w:spacing w:after="60"/>
        <w:ind w:left="397"/>
      </w:pPr>
      <w:r>
        <w:rPr>
          <w:b/>
          <w:sz w:val="20"/>
        </w:rPr>
        <w:t>MetaGPT</w:t>
      </w:r>
      <w:r>
        <w:rPr>
          <w:b w:val="0"/>
          <w:sz w:val="20"/>
        </w:rPr>
        <w:t xml:space="preserve"> — arXiv:2308.00352, 2023</w:t>
      </w:r>
    </w:p>
    <w:p>
      <w:pPr>
        <w:pStyle w:val="ListBullet"/>
        <w:spacing w:after="60"/>
        <w:ind w:left="397"/>
      </w:pPr>
      <w:r>
        <w:rPr>
          <w:b/>
          <w:sz w:val="20"/>
        </w:rPr>
        <w:t>softwarefabrik.io</w:t>
      </w:r>
      <w:r>
        <w:rPr>
          <w:b w:val="0"/>
          <w:sz w:val="20"/>
        </w:rPr>
        <w:t xml:space="preserve"> — produto comercial, v0.30.0, 2026</w:t>
      </w:r>
    </w:p>
    <w:p>
      <w:pPr>
        <w:pStyle w:val="ListBullet"/>
        <w:spacing w:after="60"/>
        <w:ind w:left="397"/>
      </w:pPr>
      <w:r>
        <w:rPr>
          <w:b/>
          <w:sz w:val="20"/>
        </w:rPr>
        <w:t>Este trabalho</w:t>
      </w:r>
      <w:r>
        <w:rPr>
          <w:b w:val="0"/>
          <w:sz w:val="20"/>
        </w:rPr>
        <w:t xml:space="preserve"> — repositório público, 2026</w:t>
      </w:r>
    </w:p>
    <w:p>
      <w:pPr>
        <w:keepNext/>
        <w:spacing w:before="160" w:after="60"/>
      </w:pPr>
      <w:r>
        <w:rPr>
          <w:b/>
          <w:color w:val="184F95"/>
          <w:sz w:val="19"/>
        </w:rPr>
        <w:t>ChatDev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>
        <w:tc>
          <w:tcPr>
            <w:tcW w:type="dxa" w:w="1510"/>
            <w:shd w:val="clear" w:fill="E8EFF9"/>
          </w:tcPr>
          <w:p>
            <w:pPr>
              <w:spacing w:after="20"/>
              <w:jc w:val="center"/>
            </w:pPr>
            <w:r/>
            <w:r>
              <w:rPr>
                <w:b w:val="0"/>
                <w:color w:val="1A1A1A"/>
                <w:sz w:val="16"/>
              </w:rPr>
              <w:t>projeto</w:t>
            </w:r>
          </w:p>
        </w:tc>
        <w:tc>
          <w:tcPr>
            <w:tcW w:type="dxa" w:w="351"/>
          </w:tcPr>
          <w:p>
            <w:pPr>
              <w:spacing w:after="20"/>
              <w:jc w:val="center"/>
            </w:pPr>
            <w:r/>
            <w:r>
              <w:rPr>
                <w:color w:val="555B66"/>
                <w:sz w:val="18"/>
              </w:rPr>
              <w:t>→</w:t>
            </w:r>
          </w:p>
        </w:tc>
        <w:tc>
          <w:tcPr>
            <w:tcW w:type="dxa" w:w="1510"/>
            <w:shd w:val="clear" w:fill="E8EFF9"/>
          </w:tcPr>
          <w:p>
            <w:pPr>
              <w:spacing w:after="20"/>
              <w:jc w:val="center"/>
            </w:pPr>
            <w:r/>
            <w:r>
              <w:rPr>
                <w:b w:val="0"/>
                <w:color w:val="1A1A1A"/>
                <w:sz w:val="16"/>
              </w:rPr>
              <w:t>desenho</w:t>
            </w:r>
          </w:p>
        </w:tc>
        <w:tc>
          <w:tcPr>
            <w:tcW w:type="dxa" w:w="351"/>
          </w:tcPr>
          <w:p>
            <w:pPr>
              <w:spacing w:after="20"/>
              <w:jc w:val="center"/>
            </w:pPr>
            <w:r/>
            <w:r>
              <w:rPr>
                <w:color w:val="555B66"/>
                <w:sz w:val="18"/>
              </w:rPr>
              <w:t>→</w:t>
            </w:r>
          </w:p>
        </w:tc>
        <w:tc>
          <w:tcPr>
            <w:tcW w:type="dxa" w:w="1510"/>
            <w:shd w:val="clear" w:fill="E8EFF9"/>
          </w:tcPr>
          <w:p>
            <w:pPr>
              <w:spacing w:after="20"/>
              <w:jc w:val="center"/>
            </w:pPr>
            <w:r/>
            <w:r>
              <w:rPr>
                <w:b w:val="0"/>
                <w:color w:val="1A1A1A"/>
                <w:sz w:val="16"/>
              </w:rPr>
              <w:t>codificação</w:t>
            </w:r>
          </w:p>
        </w:tc>
        <w:tc>
          <w:tcPr>
            <w:tcW w:type="dxa" w:w="351"/>
          </w:tcPr>
          <w:p>
            <w:pPr>
              <w:spacing w:after="20"/>
              <w:jc w:val="center"/>
            </w:pPr>
            <w:r/>
            <w:r>
              <w:rPr>
                <w:color w:val="555B66"/>
                <w:sz w:val="18"/>
              </w:rPr>
              <w:t>→</w:t>
            </w:r>
          </w:p>
        </w:tc>
        <w:tc>
          <w:tcPr>
            <w:tcW w:type="dxa" w:w="1510"/>
            <w:shd w:val="clear" w:fill="E8EFF9"/>
          </w:tcPr>
          <w:p>
            <w:pPr>
              <w:spacing w:after="20"/>
              <w:jc w:val="center"/>
            </w:pPr>
            <w:r/>
            <w:r>
              <w:rPr>
                <w:b w:val="0"/>
                <w:color w:val="1A1A1A"/>
                <w:sz w:val="16"/>
              </w:rPr>
              <w:t>testes</w:t>
            </w:r>
          </w:p>
        </w:tc>
        <w:tc>
          <w:tcPr>
            <w:tcW w:type="dxa" w:w="351"/>
          </w:tcPr>
          <w:p>
            <w:pPr>
              <w:spacing w:after="20"/>
              <w:jc w:val="center"/>
            </w:pPr>
            <w:r/>
            <w:r>
              <w:rPr>
                <w:color w:val="555B66"/>
                <w:sz w:val="18"/>
              </w:rPr>
              <w:t>→</w:t>
            </w:r>
          </w:p>
        </w:tc>
        <w:tc>
          <w:tcPr>
            <w:tcW w:type="dxa" w:w="1510"/>
            <w:shd w:val="clear" w:fill="E8EFF9"/>
          </w:tcPr>
          <w:p>
            <w:pPr>
              <w:spacing w:after="20"/>
              <w:jc w:val="center"/>
            </w:pPr>
            <w:r/>
            <w:r>
              <w:rPr>
                <w:b w:val="0"/>
                <w:color w:val="1A1A1A"/>
                <w:sz w:val="16"/>
              </w:rPr>
              <w:t>documentação</w:t>
            </w:r>
          </w:p>
        </w:tc>
      </w:tr>
    </w:tbl>
    <w:p>
      <w:pPr>
        <w:spacing w:after="180" w:before="20"/>
      </w:pPr>
      <w:r>
        <w:rPr>
          <w:i/>
          <w:color w:val="555B66"/>
          <w:sz w:val="16"/>
        </w:rPr>
        <w:t>Cascata de fases; dentro de cada uma, uma dupla de agentes conversa até fechar a subtarefa, com teto de rodadas.</w:t>
      </w:r>
    </w:p>
    <w:p>
      <w:pPr>
        <w:keepNext/>
        <w:spacing w:before="160" w:after="60"/>
      </w:pPr>
      <w:r>
        <w:rPr>
          <w:b/>
          <w:color w:val="184F95"/>
          <w:sz w:val="19"/>
        </w:rPr>
        <w:t>MetaGPT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2751"/>
            <w:shd w:val="clear" w:fill="E8EFF9"/>
          </w:tcPr>
          <w:p>
            <w:pPr>
              <w:spacing w:after="20"/>
              <w:jc w:val="center"/>
            </w:pPr>
            <w:r/>
            <w:r>
              <w:rPr>
                <w:b w:val="0"/>
                <w:color w:val="1A1A1A"/>
                <w:sz w:val="16"/>
              </w:rPr>
              <w:t>papel publica</w:t>
            </w:r>
          </w:p>
        </w:tc>
        <w:tc>
          <w:tcPr>
            <w:tcW w:type="dxa" w:w="351"/>
          </w:tcPr>
          <w:p>
            <w:pPr>
              <w:spacing w:after="20"/>
              <w:jc w:val="center"/>
            </w:pPr>
            <w:r/>
            <w:r>
              <w:rPr>
                <w:color w:val="555B66"/>
                <w:sz w:val="18"/>
              </w:rPr>
              <w:t>→</w:t>
            </w:r>
          </w:p>
        </w:tc>
        <w:tc>
          <w:tcPr>
            <w:tcW w:type="dxa" w:w="2751"/>
            <w:shd w:val="clear" w:fill="D6E6FA"/>
          </w:tcPr>
          <w:p>
            <w:pPr>
              <w:spacing w:after="20"/>
              <w:jc w:val="center"/>
            </w:pPr>
            <w:r/>
            <w:r>
              <w:rPr>
                <w:b/>
                <w:color w:val="184F95"/>
                <w:sz w:val="16"/>
              </w:rPr>
              <w:t>quadro de mensagens compartilhado</w:t>
            </w:r>
          </w:p>
        </w:tc>
        <w:tc>
          <w:tcPr>
            <w:tcW w:type="dxa" w:w="351"/>
          </w:tcPr>
          <w:p>
            <w:pPr>
              <w:spacing w:after="20"/>
              <w:jc w:val="center"/>
            </w:pPr>
            <w:r/>
            <w:r>
              <w:rPr>
                <w:color w:val="555B66"/>
                <w:sz w:val="18"/>
              </w:rPr>
              <w:t>→</w:t>
            </w:r>
          </w:p>
        </w:tc>
        <w:tc>
          <w:tcPr>
            <w:tcW w:type="dxa" w:w="2751"/>
            <w:shd w:val="clear" w:fill="E8EFF9"/>
          </w:tcPr>
          <w:p>
            <w:pPr>
              <w:spacing w:after="20"/>
              <w:jc w:val="center"/>
            </w:pPr>
            <w:r/>
            <w:r>
              <w:rPr>
                <w:b w:val="0"/>
                <w:color w:val="1A1A1A"/>
                <w:sz w:val="16"/>
              </w:rPr>
              <w:t>papel assina</w:t>
            </w:r>
          </w:p>
        </w:tc>
      </w:tr>
    </w:tbl>
    <w:p>
      <w:pPr>
        <w:spacing w:after="180" w:before="20"/>
      </w:pPr>
      <w:r>
        <w:rPr>
          <w:i/>
          <w:color w:val="555B66"/>
          <w:sz w:val="16"/>
        </w:rPr>
        <w:t>Os papéis não se falam: publicam no quadro e assinam o que lhes interessa. A ordem das etapas vem do procedimento operacional, fixado antes de começar.</w:t>
      </w:r>
    </w:p>
    <w:p>
      <w:pPr>
        <w:keepNext/>
        <w:spacing w:before="160" w:after="60"/>
      </w:pPr>
      <w:r>
        <w:rPr>
          <w:b/>
          <w:color w:val="184F95"/>
          <w:sz w:val="19"/>
        </w:rPr>
        <w:t>softwarefabrik.io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>
        <w:tc>
          <w:tcPr>
            <w:tcW w:type="dxa" w:w="1510"/>
            <w:shd w:val="clear" w:fill="E8EFF9"/>
          </w:tcPr>
          <w:p>
            <w:pPr>
              <w:spacing w:after="20"/>
              <w:jc w:val="center"/>
            </w:pPr>
            <w:r/>
            <w:r>
              <w:rPr>
                <w:b w:val="0"/>
                <w:color w:val="1A1A1A"/>
                <w:sz w:val="16"/>
              </w:rPr>
              <w:t>pedido no assistente</w:t>
            </w:r>
          </w:p>
        </w:tc>
        <w:tc>
          <w:tcPr>
            <w:tcW w:type="dxa" w:w="351"/>
          </w:tcPr>
          <w:p>
            <w:pPr>
              <w:spacing w:after="20"/>
              <w:jc w:val="center"/>
            </w:pPr>
            <w:r/>
            <w:r>
              <w:rPr>
                <w:color w:val="555B66"/>
                <w:sz w:val="18"/>
              </w:rPr>
              <w:t>→</w:t>
            </w:r>
          </w:p>
        </w:tc>
        <w:tc>
          <w:tcPr>
            <w:tcW w:type="dxa" w:w="1510"/>
            <w:shd w:val="clear" w:fill="E8EFF9"/>
          </w:tcPr>
          <w:p>
            <w:pPr>
              <w:spacing w:after="20"/>
              <w:jc w:val="center"/>
            </w:pPr>
            <w:r/>
            <w:r>
              <w:rPr>
                <w:b w:val="0"/>
                <w:color w:val="1A1A1A"/>
                <w:sz w:val="16"/>
              </w:rPr>
              <w:t>execução em contêiner</w:t>
            </w:r>
          </w:p>
        </w:tc>
        <w:tc>
          <w:tcPr>
            <w:tcW w:type="dxa" w:w="351"/>
          </w:tcPr>
          <w:p>
            <w:pPr>
              <w:spacing w:after="20"/>
              <w:jc w:val="center"/>
            </w:pPr>
            <w:r/>
            <w:r>
              <w:rPr>
                <w:color w:val="555B66"/>
                <w:sz w:val="18"/>
              </w:rPr>
              <w:t>→</w:t>
            </w:r>
          </w:p>
        </w:tc>
        <w:tc>
          <w:tcPr>
            <w:tcW w:type="dxa" w:w="1510"/>
            <w:shd w:val="clear" w:fill="E8EFF9"/>
          </w:tcPr>
          <w:p>
            <w:pPr>
              <w:spacing w:after="20"/>
              <w:jc w:val="center"/>
            </w:pPr>
            <w:r/>
            <w:r>
              <w:rPr>
                <w:b w:val="0"/>
                <w:color w:val="1A1A1A"/>
                <w:sz w:val="16"/>
              </w:rPr>
              <w:t>comitê de 6 revisores</w:t>
            </w:r>
          </w:p>
        </w:tc>
        <w:tc>
          <w:tcPr>
            <w:tcW w:type="dxa" w:w="351"/>
          </w:tcPr>
          <w:p>
            <w:pPr>
              <w:spacing w:after="20"/>
              <w:jc w:val="center"/>
            </w:pPr>
            <w:r/>
            <w:r>
              <w:rPr>
                <w:color w:val="555B66"/>
                <w:sz w:val="18"/>
              </w:rPr>
              <w:t>→</w:t>
            </w:r>
          </w:p>
        </w:tc>
        <w:tc>
          <w:tcPr>
            <w:tcW w:type="dxa" w:w="1510"/>
            <w:shd w:val="clear" w:fill="D6E6FA"/>
          </w:tcPr>
          <w:p>
            <w:pPr>
              <w:spacing w:after="20"/>
              <w:jc w:val="center"/>
            </w:pPr>
            <w:r/>
            <w:r>
              <w:rPr>
                <w:b/>
                <w:color w:val="184F95"/>
                <w:sz w:val="16"/>
              </w:rPr>
              <w:t>PESSOA APROVA</w:t>
            </w:r>
          </w:p>
        </w:tc>
        <w:tc>
          <w:tcPr>
            <w:tcW w:type="dxa" w:w="351"/>
          </w:tcPr>
          <w:p>
            <w:pPr>
              <w:spacing w:after="20"/>
              <w:jc w:val="center"/>
            </w:pPr>
            <w:r/>
            <w:r>
              <w:rPr>
                <w:color w:val="555B66"/>
                <w:sz w:val="18"/>
              </w:rPr>
              <w:t>→</w:t>
            </w:r>
          </w:p>
        </w:tc>
        <w:tc>
          <w:tcPr>
            <w:tcW w:type="dxa" w:w="1510"/>
            <w:shd w:val="clear" w:fill="E8EFF9"/>
          </w:tcPr>
          <w:p>
            <w:pPr>
              <w:spacing w:after="20"/>
              <w:jc w:val="center"/>
            </w:pPr>
            <w:r/>
            <w:r>
              <w:rPr>
                <w:b w:val="0"/>
                <w:color w:val="1A1A1A"/>
                <w:sz w:val="16"/>
              </w:rPr>
              <w:t>commit</w:t>
            </w:r>
          </w:p>
        </w:tc>
      </w:tr>
    </w:tbl>
    <w:p>
      <w:pPr>
        <w:spacing w:after="180" w:before="20"/>
      </w:pPr>
      <w:r>
        <w:rPr>
          <w:i/>
          <w:color w:val="555B66"/>
          <w:sz w:val="16"/>
        </w:rPr>
        <w:t>A execução inteira é a unidade. O comitê prepara a decisão; quem decide é a pessoa — e sem ela o fluxo não avança.</w:t>
      </w:r>
    </w:p>
    <w:p>
      <w:pPr>
        <w:keepNext/>
        <w:spacing w:before="160" w:after="60"/>
      </w:pPr>
      <w:r>
        <w:rPr>
          <w:b/>
          <w:color w:val="184F95"/>
          <w:sz w:val="19"/>
        </w:rPr>
        <w:t>Este trabalho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</w:tblGrid>
      <w:tr>
        <w:tc>
          <w:tcPr>
            <w:tcW w:type="dxa" w:w="1200"/>
            <w:shd w:val="clear" w:fill="E8EFF9"/>
          </w:tcPr>
          <w:p>
            <w:pPr>
              <w:spacing w:after="20"/>
              <w:jc w:val="center"/>
            </w:pPr>
            <w:r/>
            <w:r>
              <w:rPr>
                <w:b w:val="0"/>
                <w:color w:val="1A1A1A"/>
                <w:sz w:val="16"/>
              </w:rPr>
              <w:t>pedido</w:t>
            </w:r>
          </w:p>
        </w:tc>
        <w:tc>
          <w:tcPr>
            <w:tcW w:type="dxa" w:w="351"/>
          </w:tcPr>
          <w:p>
            <w:pPr>
              <w:spacing w:after="20"/>
              <w:jc w:val="center"/>
            </w:pPr>
            <w:r/>
            <w:r>
              <w:rPr>
                <w:color w:val="555B66"/>
                <w:sz w:val="18"/>
              </w:rPr>
              <w:t>→</w:t>
            </w:r>
          </w:p>
        </w:tc>
        <w:tc>
          <w:tcPr>
            <w:tcW w:type="dxa" w:w="1200"/>
            <w:shd w:val="clear" w:fill="D6E6FA"/>
          </w:tcPr>
          <w:p>
            <w:pPr>
              <w:spacing w:after="20"/>
              <w:jc w:val="center"/>
            </w:pPr>
            <w:r/>
            <w:r>
              <w:rPr>
                <w:b/>
                <w:color w:val="184F95"/>
                <w:sz w:val="16"/>
              </w:rPr>
              <w:t>plano e fila</w:t>
            </w:r>
          </w:p>
        </w:tc>
        <w:tc>
          <w:tcPr>
            <w:tcW w:type="dxa" w:w="351"/>
          </w:tcPr>
          <w:p>
            <w:pPr>
              <w:spacing w:after="20"/>
              <w:jc w:val="center"/>
            </w:pPr>
            <w:r/>
            <w:r>
              <w:rPr>
                <w:color w:val="555B66"/>
                <w:sz w:val="18"/>
              </w:rPr>
              <w:t>→</w:t>
            </w:r>
          </w:p>
        </w:tc>
        <w:tc>
          <w:tcPr>
            <w:tcW w:type="dxa" w:w="1200"/>
            <w:shd w:val="clear" w:fill="E8EFF9"/>
          </w:tcPr>
          <w:p>
            <w:pPr>
              <w:spacing w:after="20"/>
              <w:jc w:val="center"/>
            </w:pPr>
            <w:r/>
            <w:r>
              <w:rPr>
                <w:b w:val="0"/>
                <w:color w:val="1A1A1A"/>
                <w:sz w:val="16"/>
              </w:rPr>
              <w:t>construtor</w:t>
            </w:r>
          </w:p>
        </w:tc>
        <w:tc>
          <w:tcPr>
            <w:tcW w:type="dxa" w:w="351"/>
          </w:tcPr>
          <w:p>
            <w:pPr>
              <w:spacing w:after="20"/>
              <w:jc w:val="center"/>
            </w:pPr>
            <w:r/>
            <w:r>
              <w:rPr>
                <w:color w:val="555B66"/>
                <w:sz w:val="18"/>
              </w:rPr>
              <w:t>→</w:t>
            </w:r>
          </w:p>
        </w:tc>
        <w:tc>
          <w:tcPr>
            <w:tcW w:type="dxa" w:w="1200"/>
            <w:shd w:val="clear" w:fill="E8EFF9"/>
          </w:tcPr>
          <w:p>
            <w:pPr>
              <w:spacing w:after="20"/>
              <w:jc w:val="center"/>
            </w:pPr>
            <w:r/>
            <w:r>
              <w:rPr>
                <w:b w:val="0"/>
                <w:color w:val="1A1A1A"/>
                <w:sz w:val="16"/>
              </w:rPr>
              <w:t>verificador</w:t>
            </w:r>
          </w:p>
        </w:tc>
        <w:tc>
          <w:tcPr>
            <w:tcW w:type="dxa" w:w="351"/>
          </w:tcPr>
          <w:p>
            <w:pPr>
              <w:spacing w:after="20"/>
              <w:jc w:val="center"/>
            </w:pPr>
            <w:r/>
            <w:r>
              <w:rPr>
                <w:color w:val="555B66"/>
                <w:sz w:val="18"/>
              </w:rPr>
              <w:t>→</w:t>
            </w:r>
          </w:p>
        </w:tc>
        <w:tc>
          <w:tcPr>
            <w:tcW w:type="dxa" w:w="1200"/>
            <w:shd w:val="clear" w:fill="E8EFF9"/>
          </w:tcPr>
          <w:p>
            <w:pPr>
              <w:spacing w:after="20"/>
              <w:jc w:val="center"/>
            </w:pPr>
            <w:r/>
            <w:r>
              <w:rPr>
                <w:b w:val="0"/>
                <w:color w:val="1A1A1A"/>
                <w:sz w:val="16"/>
              </w:rPr>
              <w:t>revisor</w:t>
            </w:r>
          </w:p>
        </w:tc>
        <w:tc>
          <w:tcPr>
            <w:tcW w:type="dxa" w:w="351"/>
          </w:tcPr>
          <w:p>
            <w:pPr>
              <w:spacing w:after="20"/>
              <w:jc w:val="center"/>
            </w:pPr>
            <w:r/>
            <w:r>
              <w:rPr>
                <w:color w:val="555B66"/>
                <w:sz w:val="18"/>
              </w:rPr>
              <w:t>→</w:t>
            </w:r>
          </w:p>
        </w:tc>
        <w:tc>
          <w:tcPr>
            <w:tcW w:type="dxa" w:w="1200"/>
            <w:shd w:val="clear" w:fill="E8EFF9"/>
          </w:tcPr>
          <w:p>
            <w:pPr>
              <w:spacing w:after="20"/>
              <w:jc w:val="center"/>
            </w:pPr>
            <w:r/>
            <w:r>
              <w:rPr>
                <w:b w:val="0"/>
                <w:color w:val="1A1A1A"/>
                <w:sz w:val="16"/>
              </w:rPr>
              <w:t>commit</w:t>
            </w:r>
          </w:p>
        </w:tc>
      </w:tr>
    </w:tbl>
    <w:p>
      <w:pPr>
        <w:spacing w:after="180" w:before="20"/>
      </w:pPr>
      <w:r>
        <w:rPr>
          <w:i/>
          <w:color w:val="555B66"/>
          <w:sz w:val="16"/>
        </w:rPr>
        <w:t>A tarefa é a unidade, e ela tem estado próprio. Reprovada, volta ao construtor: 3 ciclos, e a cada volta o sistema muda de estratégia — sobe de modelo, troca de especialista, redivide a tarefa. Ninguém precisa estar presente.</w:t>
      </w:r>
    </w:p>
    <w:p>
      <w:pPr>
        <w:keepNext/>
        <w:spacing w:before="320" w:after="100"/>
      </w:pPr>
      <w:r>
        <w:rPr>
          <w:b/>
          <w:color w:val="184F95"/>
          <w:sz w:val="26"/>
        </w:rPr>
        <w:t>2.  O que os quatro têm em comum</w:t>
      </w:r>
    </w:p>
    <w:p>
      <w:pPr>
        <w:spacing w:after="120"/>
        <w:jc w:val="both"/>
      </w:pPr>
      <w:r>
        <w:rPr>
          <w:b w:val="0"/>
          <w:i w:val="0"/>
          <w:sz w:val="20"/>
        </w:rPr>
        <w:t>A convergência é grande, e reconhecê-la vem antes de qualquer diferença. Cinco escolhas estruturais aparecem nos quatro sistemas:</w:t>
      </w:r>
    </w:p>
    <w:p>
      <w:pPr>
        <w:pStyle w:val="ListBullet"/>
        <w:spacing w:after="60"/>
        <w:ind w:left="397"/>
      </w:pPr>
      <w:r>
        <w:rPr>
          <w:b/>
          <w:sz w:val="20"/>
        </w:rPr>
        <w:t>Papéis especializados no lugar de um agente único.</w:t>
      </w:r>
      <w:r>
        <w:rPr>
          <w:b w:val="0"/>
          <w:sz w:val="20"/>
        </w:rPr>
        <w:t xml:space="preserve"> Os quatro rejeitam o agente generalista, e os quatro relatam ganho com a divisão.</w:t>
      </w:r>
    </w:p>
    <w:p>
      <w:pPr>
        <w:pStyle w:val="ListBullet"/>
        <w:spacing w:after="60"/>
        <w:ind w:left="397"/>
      </w:pPr>
      <w:r>
        <w:rPr>
          <w:b/>
          <w:sz w:val="20"/>
        </w:rPr>
        <w:t>Decomposição antes da execução.</w:t>
      </w:r>
      <w:r>
        <w:rPr>
          <w:b w:val="0"/>
          <w:sz w:val="20"/>
        </w:rPr>
        <w:t xml:space="preserve"> O pedido nunca vai inteiro ao modelo: vira fases, etapas, execuções ou tarefas.</w:t>
      </w:r>
    </w:p>
    <w:p>
      <w:pPr>
        <w:pStyle w:val="ListBullet"/>
        <w:spacing w:after="60"/>
        <w:ind w:left="397"/>
      </w:pPr>
      <w:r>
        <w:rPr>
          <w:b/>
          <w:sz w:val="20"/>
        </w:rPr>
        <w:t>Quem produz não é quem aprova.</w:t>
      </w:r>
      <w:r>
        <w:rPr>
          <w:b w:val="0"/>
          <w:sz w:val="20"/>
        </w:rPr>
        <w:t xml:space="preserve"> Em nenhum dos quatro o autor do trabalho é quem o aprova.</w:t>
      </w:r>
    </w:p>
    <w:p>
      <w:pPr>
        <w:pStyle w:val="ListBullet"/>
        <w:spacing w:after="60"/>
        <w:ind w:left="397"/>
      </w:pPr>
      <w:r>
        <w:rPr>
          <w:b/>
          <w:sz w:val="20"/>
        </w:rPr>
        <w:t>Artefato versionado como saída.</w:t>
      </w:r>
      <w:r>
        <w:rPr>
          <w:b w:val="0"/>
          <w:sz w:val="20"/>
        </w:rPr>
        <w:t xml:space="preserve"> O controle de versão é o registro comum do que foi produzido.</w:t>
      </w:r>
    </w:p>
    <w:p>
      <w:pPr>
        <w:pStyle w:val="ListBullet"/>
        <w:spacing w:after="60"/>
        <w:ind w:left="397"/>
      </w:pPr>
      <w:r>
        <w:rPr>
          <w:b/>
          <w:sz w:val="20"/>
        </w:rPr>
        <w:t>Algum limite de repetição.</w:t>
      </w:r>
      <w:r>
        <w:rPr>
          <w:b w:val="0"/>
          <w:sz w:val="20"/>
        </w:rPr>
        <w:t xml:space="preserve"> Três declaram um teto explícito; no quarto, é a pessoa que corta.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2F5FA"/>
          </w:tcPr>
          <w:p>
            <w:pPr>
              <w:spacing w:after="0"/>
            </w:pPr>
            <w:r/>
            <w:r>
              <w:rPr>
                <w:b/>
                <w:color w:val="184F95"/>
                <w:sz w:val="17"/>
              </w:rPr>
              <w:t xml:space="preserve">LEITURA  </w:t>
            </w:r>
            <w:r>
              <w:rPr>
                <w:sz w:val="19"/>
              </w:rPr>
              <w:t>Que quatro sistemas construídos de forma independente cheguem às mesmas cinco escolhas sugere que elas não são preferência de projeto, e sim resposta necessária ao substrato: modelos de linguagem sem memória entre execuções, produzindo artefatos que precisam ser conferidos por quem não os produziu. A comparação séria, portanto, não é sobre essa base comum — é sobre o que se escolhe além dela.</w:t>
            </w:r>
          </w:p>
        </w:tc>
      </w:tr>
    </w:tbl>
    <w:p>
      <w:pPr>
        <w:spacing w:after="80"/>
      </w:pPr>
    </w:p>
    <w:p>
      <w:pPr>
        <w:keepNext/>
        <w:spacing w:before="320" w:after="100"/>
      </w:pPr>
      <w:r>
        <w:rPr>
          <w:b/>
          <w:color w:val="184F95"/>
          <w:sz w:val="26"/>
        </w:rPr>
        <w:t>3.  O que separa: três perguntas</w:t>
      </w:r>
    </w:p>
    <w:p>
      <w:pPr>
        <w:spacing w:after="120"/>
        <w:jc w:val="both"/>
      </w:pPr>
      <w:r>
        <w:rPr>
          <w:b w:val="0"/>
          <w:i w:val="0"/>
          <w:sz w:val="20"/>
        </w:rPr>
        <w:t>Descontado o que é comum, restam três perguntas que toda arquitetura dessas precisa responder. As respostas são o que realmente distingue os quatro sistemas.</w:t>
      </w:r>
    </w:p>
    <w:p>
      <w:pPr>
        <w:keepNext/>
        <w:spacing w:before="200" w:after="60"/>
      </w:pPr>
      <w:r>
        <w:rPr>
          <w:b/>
          <w:color w:val="1A1A1A"/>
          <w:sz w:val="21"/>
        </w:rPr>
        <w:t>3.1  Onde fica o estado do trabalho?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cantSplit/>
        </w:trPr>
        <w:tc>
          <w:tcPr>
            <w:tcW w:type="dxa" w:w="1814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Sistema</w:t>
            </w:r>
          </w:p>
        </w:tc>
        <w:tc>
          <w:tcPr>
            <w:tcW w:type="dxa" w:w="3288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Resposta</w:t>
            </w:r>
          </w:p>
        </w:tc>
        <w:tc>
          <w:tcPr>
            <w:tcW w:type="dxa" w:w="3969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Consequência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ChatDev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Na memória do diálogo — curta dentro da fase, resumida entre fases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 execução é a unidade: quando ela termina, não há a que voltar</w:t>
            </w:r>
          </w:p>
        </w:tc>
      </w:tr>
      <w:tr>
        <w:trPr>
          <w:cantSplit/>
        </w:trPr>
        <w:tc>
          <w:tcPr>
            <w:tcW w:type="dxa" w:w="1814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MetaGPT</w:t>
            </w:r>
          </w:p>
        </w:tc>
        <w:tc>
          <w:tcPr>
            <w:tcW w:type="dxa" w:w="3288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Num quadro de mensagens em memória, mais uma memória global</w:t>
            </w:r>
          </w:p>
        </w:tc>
        <w:tc>
          <w:tcPr>
            <w:tcW w:type="dxa" w:w="3969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Os papéis se desacoplam entre si, mas o estado ainda morre com a execução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softwarefabrik.io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 espaço de trabalho versionado, mais a espera pela aprovação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 trabalho sobrevive à execução; a espera por uma pessoa é parte do estado</w:t>
            </w:r>
          </w:p>
        </w:tc>
      </w:tr>
      <w:tr>
        <w:trPr>
          <w:cantSplit/>
        </w:trPr>
        <w:tc>
          <w:tcPr>
            <w:tcW w:type="dxa" w:w="1814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Este trabalho</w:t>
            </w:r>
          </w:p>
        </w:tc>
        <w:tc>
          <w:tcPr>
            <w:tcW w:type="dxa" w:w="3288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Em arquivo, por tarefa: estado, dependências, tentativas. A conversa nunca é fonte</w:t>
            </w:r>
          </w:p>
        </w:tc>
        <w:tc>
          <w:tcPr>
            <w:tcW w:type="dxa" w:w="3969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Uma sessão nova continua de onde a anterior parou, só lendo os arquivos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b/>
          <w:color w:val="1A1A1A"/>
          <w:sz w:val="21"/>
        </w:rPr>
        <w:t>3.2  Quem decide o que acontece em seguida?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cantSplit/>
        </w:trPr>
        <w:tc>
          <w:tcPr>
            <w:tcW w:type="dxa" w:w="1814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Sistema</w:t>
            </w:r>
          </w:p>
        </w:tc>
        <w:tc>
          <w:tcPr>
            <w:tcW w:type="dxa" w:w="3288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Resposta</w:t>
            </w:r>
          </w:p>
        </w:tc>
        <w:tc>
          <w:tcPr>
            <w:tcW w:type="dxa" w:w="3969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Consequência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ChatDev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 cascata: a fase seguinte é fixa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 ordem inteira é conhecida antes de começar e não muda em execução</w:t>
            </w:r>
          </w:p>
        </w:tc>
      </w:tr>
      <w:tr>
        <w:trPr>
          <w:cantSplit/>
        </w:trPr>
        <w:tc>
          <w:tcPr>
            <w:tcW w:type="dxa" w:w="1814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MetaGPT</w:t>
            </w:r>
          </w:p>
        </w:tc>
        <w:tc>
          <w:tcPr>
            <w:tcW w:type="dxa" w:w="3288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 procedimento operacional: a sequência de etapas é fixa</w:t>
            </w:r>
          </w:p>
        </w:tc>
        <w:tc>
          <w:tcPr>
            <w:tcW w:type="dxa" w:w="3969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Idem — o quadro desacopla quem lê de quem escreve, mas não altera a ordem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softwarefabrik.io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 operador humano, no portão de aprovação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 sistema avança na velocidade da atenção de uma pessoa</w:t>
            </w:r>
          </w:p>
        </w:tc>
      </w:tr>
      <w:tr>
        <w:trPr>
          <w:cantSplit/>
        </w:trPr>
        <w:tc>
          <w:tcPr>
            <w:tcW w:type="dxa" w:w="1814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Este trabalho</w:t>
            </w:r>
          </w:p>
        </w:tc>
        <w:tc>
          <w:tcPr>
            <w:tcW w:type="dxa" w:w="3288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Código: uma máquina de estados lê dependências e estados e monta a fila</w:t>
            </w:r>
          </w:p>
        </w:tc>
        <w:tc>
          <w:tcPr>
            <w:tcW w:type="dxa" w:w="3969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 ordem é derivada em execução e se refaz a cada tarefa que conclui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b/>
          <w:color w:val="1A1A1A"/>
          <w:sz w:val="21"/>
        </w:rPr>
        <w:t>3.3  Como se impede um papel de fazer o que não é dele?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cantSplit/>
        </w:trPr>
        <w:tc>
          <w:tcPr>
            <w:tcW w:type="dxa" w:w="1814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Sistema</w:t>
            </w:r>
          </w:p>
        </w:tc>
        <w:tc>
          <w:tcPr>
            <w:tcW w:type="dxa" w:w="3288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Resposta</w:t>
            </w:r>
          </w:p>
        </w:tc>
        <w:tc>
          <w:tcPr>
            <w:tcW w:type="dxa" w:w="3969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Consequência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ChatDev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Texto: a instrução escrita no papel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 regra vale enquanto o modelo a obedecer</w:t>
            </w:r>
          </w:p>
        </w:tc>
      </w:tr>
      <w:tr>
        <w:trPr>
          <w:cantSplit/>
        </w:trPr>
        <w:tc>
          <w:tcPr>
            <w:tcW w:type="dxa" w:w="1814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MetaGPT</w:t>
            </w:r>
          </w:p>
        </w:tc>
        <w:tc>
          <w:tcPr>
            <w:tcW w:type="dxa" w:w="3288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Texto, mais o formato do artefato que o papel precisa produzir</w:t>
            </w:r>
          </w:p>
        </w:tc>
        <w:tc>
          <w:tcPr>
            <w:tcW w:type="dxa" w:w="3969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 formato restringe a saída, mas a fronteira do papel continua sendo texto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softwarefabrik.io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Interface: o portão de aprovação humano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 regra é garantida, ao custo de exigir alguém presente</w:t>
            </w:r>
          </w:p>
        </w:tc>
      </w:tr>
      <w:tr>
        <w:trPr>
          <w:cantSplit/>
        </w:trPr>
        <w:tc>
          <w:tcPr>
            <w:tcW w:type="dxa" w:w="1814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Este trabalho</w:t>
            </w:r>
          </w:p>
        </w:tc>
        <w:tc>
          <w:tcPr>
            <w:tcW w:type="dxa" w:w="3288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Ferramenta: o revisor não recebe a ferramenta de escrever</w:t>
            </w:r>
          </w:p>
        </w:tc>
        <w:tc>
          <w:tcPr>
            <w:tcW w:type="dxa" w:w="3969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 regra vira impossibilidade — não existe a ação para ser desobedecida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b w:val="0"/>
          <w:i w:val="0"/>
          <w:sz w:val="20"/>
        </w:rPr>
        <w:t>As duas primeiras arquiteturas respondem à primeira pergunta do mesmo jeito — o estado vive dentro da execução — e isso as afasta das outras duas mais do que qualquer detalhe de implementação. Restam, próximas, softwarefabrik.io e este trabalho: as únicas em que o trabalho sobrevive ao fim da execução. É onde a comparação precisa apertar.</w:t>
      </w:r>
    </w:p>
    <w:p>
      <w:r>
        <w:br w:type="page"/>
      </w:r>
    </w:p>
    <w:p>
      <w:pPr>
        <w:keepNext/>
        <w:spacing w:before="320" w:after="100"/>
      </w:pPr>
      <w:r>
        <w:rPr>
          <w:b/>
          <w:color w:val="184F95"/>
          <w:sz w:val="26"/>
        </w:rPr>
        <w:t>4.  O vizinho próximo: este trabalho × softwarefabrik.io</w:t>
      </w:r>
    </w:p>
    <w:p>
      <w:pPr>
        <w:spacing w:after="120"/>
        <w:jc w:val="both"/>
      </w:pPr>
      <w:r>
        <w:rPr>
          <w:b w:val="0"/>
          <w:i w:val="0"/>
          <w:sz w:val="20"/>
        </w:rPr>
        <w:t>Confronto linha a linha das duas arquiteturas que persistem estado fora da conversa. O selo à esquerda diz se a escolha é a mesma, se a intenção é a mesma com mecanismo diferente, ou se as escolhas são opostas.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cantSplit/>
        </w:trPr>
        <w:tc>
          <w:tcPr>
            <w:tcW w:type="dxa" w:w="3022"/>
            <w:shd w:val="clear" w:fill="E3F3E7"/>
          </w:tcPr>
          <w:p>
            <w:pPr>
              <w:spacing w:after="20"/>
              <w:jc w:val="center"/>
            </w:pPr>
            <w:r/>
            <w:r>
              <w:rPr>
                <w:b/>
                <w:color w:val="1B6B33"/>
                <w:sz w:val="16"/>
              </w:rPr>
              <w:t xml:space="preserve">IGUAL  </w:t>
            </w:r>
            <w:r>
              <w:rPr>
                <w:color w:val="1B6B33"/>
                <w:sz w:val="16"/>
              </w:rPr>
              <w:t>mesma escolha</w:t>
            </w:r>
          </w:p>
        </w:tc>
        <w:tc>
          <w:tcPr>
            <w:tcW w:type="dxa" w:w="3022"/>
            <w:shd w:val="clear" w:fill="FDF3D6"/>
          </w:tcPr>
          <w:p>
            <w:pPr>
              <w:spacing w:after="20"/>
              <w:jc w:val="center"/>
            </w:pPr>
            <w:r/>
            <w:r>
              <w:rPr>
                <w:b/>
                <w:color w:val="8A5D00"/>
                <w:sz w:val="16"/>
              </w:rPr>
              <w:t xml:space="preserve">PARCIAL  </w:t>
            </w:r>
            <w:r>
              <w:rPr>
                <w:color w:val="8A5D00"/>
                <w:sz w:val="16"/>
              </w:rPr>
              <w:t>mesma intenção, outro meio</w:t>
            </w:r>
          </w:p>
        </w:tc>
        <w:tc>
          <w:tcPr>
            <w:tcW w:type="dxa" w:w="3022"/>
            <w:shd w:val="clear" w:fill="FBE4E2"/>
          </w:tcPr>
          <w:p>
            <w:pPr>
              <w:spacing w:after="20"/>
              <w:jc w:val="center"/>
            </w:pPr>
            <w:r/>
            <w:r>
              <w:rPr>
                <w:b/>
                <w:color w:val="A82A21"/>
                <w:sz w:val="16"/>
              </w:rPr>
              <w:t xml:space="preserve">DIFERE  </w:t>
            </w:r>
            <w:r>
              <w:rPr>
                <w:color w:val="A82A21"/>
                <w:sz w:val="16"/>
              </w:rPr>
              <w:t>escolha oposta</w:t>
            </w:r>
          </w:p>
        </w:tc>
      </w:tr>
    </w:tbl>
    <w:p>
      <w:pPr>
        <w:keepNext/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cantSplit/>
        </w:trPr>
        <w:tc>
          <w:tcPr>
            <w:tcW w:type="dxa" w:w="1077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871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Dimensão arquitetural</w:t>
            </w:r>
          </w:p>
        </w:tc>
        <w:tc>
          <w:tcPr>
            <w:tcW w:type="dxa" w:w="3005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softwarefabrik.io</w:t>
            </w:r>
          </w:p>
        </w:tc>
        <w:tc>
          <w:tcPr>
            <w:tcW w:type="dxa" w:w="3005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Este trabalho</w:t>
            </w:r>
          </w:p>
        </w:tc>
      </w:tr>
      <w:tr>
        <w:trPr>
          <w:cantSplit/>
        </w:trPr>
        <w:tc>
          <w:tcPr>
            <w:tcW w:type="dxa" w:w="1077"/>
            <w:shd w:val="clear" w:fill="E3F3E7"/>
          </w:tcPr>
          <w:p>
            <w:pPr>
              <w:spacing w:after="20"/>
              <w:jc w:val="center"/>
            </w:pPr>
            <w:r/>
            <w:r>
              <w:rPr>
                <w:b/>
                <w:color w:val="1B6B33"/>
                <w:sz w:val="15"/>
              </w:rPr>
              <w:t>IGUAL</w:t>
            </w:r>
          </w:p>
        </w:tc>
        <w:tc>
          <w:tcPr>
            <w:tcW w:type="dxa" w:w="1871"/>
            <w:shd w:val="clear" w:fill="F2F9F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Papéis especializados</w:t>
            </w:r>
          </w:p>
        </w:tc>
        <w:tc>
          <w:tcPr>
            <w:tcW w:type="dxa" w:w="3005"/>
            <w:shd w:val="clear" w:fill="F2F9F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Papéis distintos para produzir e para revisar</w:t>
            </w:r>
          </w:p>
        </w:tc>
        <w:tc>
          <w:tcPr>
            <w:tcW w:type="dxa" w:w="3005"/>
            <w:shd w:val="clear" w:fill="F2F9F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Papéis distintos: planejador, construtor, verificador, revisor</w:t>
            </w:r>
          </w:p>
        </w:tc>
      </w:tr>
      <w:tr>
        <w:trPr>
          <w:cantSplit/>
        </w:trPr>
        <w:tc>
          <w:tcPr>
            <w:tcW w:type="dxa" w:w="1077"/>
            <w:shd w:val="clear" w:fill="E3F3E7"/>
          </w:tcPr>
          <w:p>
            <w:pPr>
              <w:spacing w:after="20"/>
              <w:jc w:val="center"/>
            </w:pPr>
            <w:r/>
            <w:r>
              <w:rPr>
                <w:b/>
                <w:color w:val="1B6B33"/>
                <w:sz w:val="15"/>
              </w:rPr>
              <w:t>IGUAL</w:t>
            </w:r>
          </w:p>
        </w:tc>
        <w:tc>
          <w:tcPr>
            <w:tcW w:type="dxa" w:w="1871"/>
            <w:shd w:val="clear" w:fill="F2F9F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Decomposição antes de executar</w:t>
            </w:r>
          </w:p>
        </w:tc>
        <w:tc>
          <w:tcPr>
            <w:tcW w:type="dxa" w:w="3005"/>
            <w:shd w:val="clear" w:fill="F2F9F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 assistente traduz o pedido em plano antes da execução</w:t>
            </w:r>
          </w:p>
        </w:tc>
        <w:tc>
          <w:tcPr>
            <w:tcW w:type="dxa" w:w="3005"/>
            <w:shd w:val="clear" w:fill="F2F9F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 planejador traduz o pedido em plano e tarefas antes da execução</w:t>
            </w:r>
          </w:p>
        </w:tc>
      </w:tr>
      <w:tr>
        <w:trPr>
          <w:cantSplit/>
        </w:trPr>
        <w:tc>
          <w:tcPr>
            <w:tcW w:type="dxa" w:w="1077"/>
            <w:shd w:val="clear" w:fill="E3F3E7"/>
          </w:tcPr>
          <w:p>
            <w:pPr>
              <w:spacing w:after="20"/>
              <w:jc w:val="center"/>
            </w:pPr>
            <w:r/>
            <w:r>
              <w:rPr>
                <w:b/>
                <w:color w:val="1B6B33"/>
                <w:sz w:val="15"/>
              </w:rPr>
              <w:t>IGUAL</w:t>
            </w:r>
          </w:p>
        </w:tc>
        <w:tc>
          <w:tcPr>
            <w:tcW w:type="dxa" w:w="1871"/>
            <w:shd w:val="clear" w:fill="F2F9F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Quem produz não aprova</w:t>
            </w:r>
          </w:p>
        </w:tc>
        <w:tc>
          <w:tcPr>
            <w:tcW w:type="dxa" w:w="3005"/>
            <w:shd w:val="clear" w:fill="F2F9F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 comitê de revisores não escreve o código</w:t>
            </w:r>
          </w:p>
        </w:tc>
        <w:tc>
          <w:tcPr>
            <w:tcW w:type="dxa" w:w="3005"/>
            <w:shd w:val="clear" w:fill="F2F9F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Verificador e revisor não escrevem o código</w:t>
            </w:r>
          </w:p>
        </w:tc>
      </w:tr>
      <w:tr>
        <w:trPr>
          <w:cantSplit/>
        </w:trPr>
        <w:tc>
          <w:tcPr>
            <w:tcW w:type="dxa" w:w="1077"/>
            <w:shd w:val="clear" w:fill="E3F3E7"/>
          </w:tcPr>
          <w:p>
            <w:pPr>
              <w:spacing w:after="20"/>
              <w:jc w:val="center"/>
            </w:pPr>
            <w:r/>
            <w:r>
              <w:rPr>
                <w:b/>
                <w:color w:val="1B6B33"/>
                <w:sz w:val="15"/>
              </w:rPr>
              <w:t>IGUAL</w:t>
            </w:r>
          </w:p>
        </w:tc>
        <w:tc>
          <w:tcPr>
            <w:tcW w:type="dxa" w:w="1871"/>
            <w:shd w:val="clear" w:fill="F2F9F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Artefato versionado</w:t>
            </w:r>
          </w:p>
        </w:tc>
        <w:tc>
          <w:tcPr>
            <w:tcW w:type="dxa" w:w="3005"/>
            <w:shd w:val="clear" w:fill="F2F9F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Git no espaço de trabalho</w:t>
            </w:r>
          </w:p>
        </w:tc>
        <w:tc>
          <w:tcPr>
            <w:tcW w:type="dxa" w:w="3005"/>
            <w:shd w:val="clear" w:fill="F2F9F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Git por projeto, um commit por tarefa</w:t>
            </w:r>
          </w:p>
        </w:tc>
      </w:tr>
      <w:tr>
        <w:trPr>
          <w:cantSplit/>
        </w:trPr>
        <w:tc>
          <w:tcPr>
            <w:tcW w:type="dxa" w:w="1077"/>
            <w:shd w:val="clear" w:fill="E3F3E7"/>
          </w:tcPr>
          <w:p>
            <w:pPr>
              <w:spacing w:after="20"/>
              <w:jc w:val="center"/>
            </w:pPr>
            <w:r/>
            <w:r>
              <w:rPr>
                <w:b/>
                <w:color w:val="1B6B33"/>
                <w:sz w:val="15"/>
              </w:rPr>
              <w:t>IGUAL</w:t>
            </w:r>
          </w:p>
        </w:tc>
        <w:tc>
          <w:tcPr>
            <w:tcW w:type="dxa" w:w="1871"/>
            <w:shd w:val="clear" w:fill="F2F9F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Execução confinada</w:t>
            </w:r>
          </w:p>
        </w:tc>
        <w:tc>
          <w:tcPr>
            <w:tcW w:type="dxa" w:w="3005"/>
            <w:shd w:val="clear" w:fill="F2F9F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Contêiner por execução</w:t>
            </w:r>
          </w:p>
        </w:tc>
        <w:tc>
          <w:tcPr>
            <w:tcW w:type="dxa" w:w="3005"/>
            <w:shd w:val="clear" w:fill="F2F9F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Confinamento ao diretório do projeto</w:t>
            </w:r>
          </w:p>
        </w:tc>
      </w:tr>
      <w:tr>
        <w:trPr>
          <w:cantSplit/>
        </w:trPr>
        <w:tc>
          <w:tcPr>
            <w:tcW w:type="dxa" w:w="1077"/>
            <w:shd w:val="clear" w:fill="FDF3D6"/>
          </w:tcPr>
          <w:p>
            <w:pPr>
              <w:spacing w:after="20"/>
              <w:jc w:val="center"/>
            </w:pPr>
            <w:r/>
            <w:r>
              <w:rPr>
                <w:b/>
                <w:color w:val="8A5D00"/>
                <w:sz w:val="15"/>
              </w:rPr>
              <w:t>PARCIAL</w:t>
            </w:r>
          </w:p>
        </w:tc>
        <w:tc>
          <w:tcPr>
            <w:tcW w:type="dxa" w:w="1871"/>
            <w:shd w:val="clear" w:fill="FDF3D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Onde vive o estado</w:t>
            </w:r>
          </w:p>
        </w:tc>
        <w:tc>
          <w:tcPr>
            <w:tcW w:type="dxa" w:w="3005"/>
            <w:shd w:val="clear" w:fill="FDF3D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Fora da conversa: espaço de trabalho versionado, mais o estado de espera pela aprovação</w:t>
            </w:r>
          </w:p>
        </w:tc>
        <w:tc>
          <w:tcPr>
            <w:tcW w:type="dxa" w:w="3005"/>
            <w:shd w:val="clear" w:fill="FDF3D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Fora da conversa também — mas por TAREFA: em que ponto do pipeline está, de quem depende, quantas vezes já falhou</w:t>
            </w:r>
          </w:p>
        </w:tc>
      </w:tr>
      <w:tr>
        <w:trPr>
          <w:cantSplit/>
        </w:trPr>
        <w:tc>
          <w:tcPr>
            <w:tcW w:type="dxa" w:w="1077"/>
            <w:shd w:val="clear" w:fill="FDF3D6"/>
          </w:tcPr>
          <w:p>
            <w:pPr>
              <w:spacing w:after="20"/>
              <w:jc w:val="center"/>
            </w:pPr>
            <w:r/>
            <w:r>
              <w:rPr>
                <w:b/>
                <w:color w:val="8A5D00"/>
                <w:sz w:val="15"/>
              </w:rPr>
              <w:t>PARCIAL</w:t>
            </w:r>
          </w:p>
        </w:tc>
        <w:tc>
          <w:tcPr>
            <w:tcW w:type="dxa" w:w="1871"/>
            <w:shd w:val="clear" w:fill="FDF3D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De onde vem a especialização</w:t>
            </w:r>
          </w:p>
        </w:tc>
        <w:tc>
          <w:tcPr>
            <w:tcW w:type="dxa" w:w="3005"/>
            <w:shd w:val="clear" w:fill="FDF3D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Escolhida de um catálogo de modelos de stack, definido antes do pedido</w:t>
            </w:r>
          </w:p>
        </w:tc>
        <w:tc>
          <w:tcPr>
            <w:tcW w:type="dxa" w:w="3005"/>
            <w:shd w:val="clear" w:fill="FDF3D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Sintetizada do próprio pedido: uma equipe nova, declarada por projeto</w:t>
            </w:r>
          </w:p>
        </w:tc>
      </w:tr>
      <w:tr>
        <w:trPr>
          <w:cantSplit/>
        </w:trPr>
        <w:tc>
          <w:tcPr>
            <w:tcW w:type="dxa" w:w="1077"/>
            <w:shd w:val="clear" w:fill="FDF3D6"/>
          </w:tcPr>
          <w:p>
            <w:pPr>
              <w:spacing w:after="20"/>
              <w:jc w:val="center"/>
            </w:pPr>
            <w:r/>
            <w:r>
              <w:rPr>
                <w:b/>
                <w:color w:val="8A5D00"/>
                <w:sz w:val="15"/>
              </w:rPr>
              <w:t>PARCIAL</w:t>
            </w:r>
          </w:p>
        </w:tc>
        <w:tc>
          <w:tcPr>
            <w:tcW w:type="dxa" w:w="1871"/>
            <w:shd w:val="clear" w:fill="FDF3D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Isolamento entre trabalhos</w:t>
            </w:r>
          </w:p>
        </w:tc>
        <w:tc>
          <w:tcPr>
            <w:tcW w:type="dxa" w:w="3005"/>
            <w:shd w:val="clear" w:fill="FDF3D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Físico: um contêiner por execução, uma execução por vez</w:t>
            </w:r>
          </w:p>
        </w:tc>
        <w:tc>
          <w:tcPr>
            <w:tcW w:type="dxa" w:w="3005"/>
            <w:shd w:val="clear" w:fill="FDF3D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Lógico: cada tarefa declara os arquivos que toca; até três em paralelo se não se cruzam</w:t>
            </w:r>
          </w:p>
        </w:tc>
      </w:tr>
      <w:tr>
        <w:trPr>
          <w:cantSplit/>
        </w:trPr>
        <w:tc>
          <w:tcPr>
            <w:tcW w:type="dxa" w:w="1077"/>
            <w:shd w:val="clear" w:fill="FDF3D6"/>
          </w:tcPr>
          <w:p>
            <w:pPr>
              <w:spacing w:after="20"/>
              <w:jc w:val="center"/>
            </w:pPr>
            <w:r/>
            <w:r>
              <w:rPr>
                <w:b/>
                <w:color w:val="8A5D00"/>
                <w:sz w:val="15"/>
              </w:rPr>
              <w:t>PARCIAL</w:t>
            </w:r>
          </w:p>
        </w:tc>
        <w:tc>
          <w:tcPr>
            <w:tcW w:type="dxa" w:w="1871"/>
            <w:shd w:val="clear" w:fill="FDF3D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Limite de repetição</w:t>
            </w:r>
          </w:p>
        </w:tc>
        <w:tc>
          <w:tcPr>
            <w:tcW w:type="dxa" w:w="3005"/>
            <w:shd w:val="clear" w:fill="FDF3D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Existe, mas quem corta é a pessoa</w:t>
            </w:r>
          </w:p>
        </w:tc>
        <w:tc>
          <w:tcPr>
            <w:tcW w:type="dxa" w:w="3005"/>
            <w:shd w:val="clear" w:fill="FDF3D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Contado pelo sistema: 3 ciclos por tarefa, verificados em código</w:t>
            </w:r>
          </w:p>
        </w:tc>
      </w:tr>
      <w:tr>
        <w:trPr>
          <w:cantSplit/>
        </w:trPr>
        <w:tc>
          <w:tcPr>
            <w:tcW w:type="dxa" w:w="1077"/>
            <w:shd w:val="clear" w:fill="FBE4E2"/>
          </w:tcPr>
          <w:p>
            <w:pPr>
              <w:spacing w:after="20"/>
              <w:jc w:val="center"/>
            </w:pPr>
            <w:r/>
            <w:r>
              <w:rPr>
                <w:b/>
                <w:color w:val="A82A21"/>
                <w:sz w:val="15"/>
              </w:rPr>
              <w:t>DIFERE</w:t>
            </w:r>
          </w:p>
        </w:tc>
        <w:tc>
          <w:tcPr>
            <w:tcW w:type="dxa" w:w="1871"/>
            <w:shd w:val="clear" w:fill="FBE4E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Quem fecha o laço de controle</w:t>
            </w:r>
          </w:p>
        </w:tc>
        <w:tc>
          <w:tcPr>
            <w:tcW w:type="dxa" w:w="3005"/>
            <w:shd w:val="clear" w:fill="FBE4E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 operador humano: nada avança sem aprovação</w:t>
            </w:r>
          </w:p>
        </w:tc>
        <w:tc>
          <w:tcPr>
            <w:tcW w:type="dxa" w:w="3005"/>
            <w:shd w:val="clear" w:fill="FBE4E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Código: uma máquina de estados lê dependências e estados e monta a fila</w:t>
            </w:r>
          </w:p>
        </w:tc>
      </w:tr>
      <w:tr>
        <w:trPr>
          <w:cantSplit/>
        </w:trPr>
        <w:tc>
          <w:tcPr>
            <w:tcW w:type="dxa" w:w="1077"/>
            <w:shd w:val="clear" w:fill="FBE4E2"/>
          </w:tcPr>
          <w:p>
            <w:pPr>
              <w:spacing w:after="20"/>
              <w:jc w:val="center"/>
            </w:pPr>
            <w:r/>
            <w:r>
              <w:rPr>
                <w:b/>
                <w:color w:val="A82A21"/>
                <w:sz w:val="15"/>
              </w:rPr>
              <w:t>DIFERE</w:t>
            </w:r>
          </w:p>
        </w:tc>
        <w:tc>
          <w:tcPr>
            <w:tcW w:type="dxa" w:w="1871"/>
            <w:shd w:val="clear" w:fill="FBE4E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Unidade de trabalho</w:t>
            </w:r>
          </w:p>
        </w:tc>
        <w:tc>
          <w:tcPr>
            <w:tcW w:type="dxa" w:w="3005"/>
            <w:shd w:val="clear" w:fill="FBE4E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 execução — um ciclo sobre o projeto, que termina e se encerra</w:t>
            </w:r>
          </w:p>
        </w:tc>
        <w:tc>
          <w:tcPr>
            <w:tcW w:type="dxa" w:w="3005"/>
            <w:shd w:val="clear" w:fill="FBE4E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 tarefa — entidade nomeada, com estado próprio, que sobrevive à sessão</w:t>
            </w:r>
          </w:p>
        </w:tc>
      </w:tr>
      <w:tr>
        <w:trPr>
          <w:cantSplit/>
        </w:trPr>
        <w:tc>
          <w:tcPr>
            <w:tcW w:type="dxa" w:w="1077"/>
            <w:shd w:val="clear" w:fill="FBE4E2"/>
          </w:tcPr>
          <w:p>
            <w:pPr>
              <w:spacing w:after="20"/>
              <w:jc w:val="center"/>
            </w:pPr>
            <w:r/>
            <w:r>
              <w:rPr>
                <w:b/>
                <w:color w:val="A82A21"/>
                <w:sz w:val="15"/>
              </w:rPr>
              <w:t>DIFERE</w:t>
            </w:r>
          </w:p>
        </w:tc>
        <w:tc>
          <w:tcPr>
            <w:tcW w:type="dxa" w:w="1871"/>
            <w:shd w:val="clear" w:fill="FBE4E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Como a autoridade é imposta</w:t>
            </w:r>
          </w:p>
        </w:tc>
        <w:tc>
          <w:tcPr>
            <w:tcW w:type="dxa" w:w="3005"/>
            <w:shd w:val="clear" w:fill="FBE4E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Pela interface: o portão de aprovação, com a pessoa atrás dele</w:t>
            </w:r>
          </w:p>
        </w:tc>
        <w:tc>
          <w:tcPr>
            <w:tcW w:type="dxa" w:w="3005"/>
            <w:shd w:val="clear" w:fill="FBE4E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Pela ferramenta: o revisor não recebe a ferramenta de escrever</w:t>
            </w:r>
          </w:p>
        </w:tc>
      </w:tr>
      <w:tr>
        <w:trPr>
          <w:cantSplit/>
        </w:trPr>
        <w:tc>
          <w:tcPr>
            <w:tcW w:type="dxa" w:w="1077"/>
            <w:shd w:val="clear" w:fill="FBE4E2"/>
          </w:tcPr>
          <w:p>
            <w:pPr>
              <w:spacing w:after="20"/>
              <w:jc w:val="center"/>
            </w:pPr>
            <w:r/>
            <w:r>
              <w:rPr>
                <w:b/>
                <w:color w:val="A82A21"/>
                <w:sz w:val="15"/>
              </w:rPr>
              <w:t>DIFERE</w:t>
            </w:r>
          </w:p>
        </w:tc>
        <w:tc>
          <w:tcPr>
            <w:tcW w:type="dxa" w:w="1871"/>
            <w:shd w:val="clear" w:fill="FBE4E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Resposta ao fracasso</w:t>
            </w:r>
          </w:p>
        </w:tc>
        <w:tc>
          <w:tcPr>
            <w:tcW w:type="dxa" w:w="3005"/>
            <w:shd w:val="clear" w:fill="FBE4E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Devolvida à pessoa, que aprova, rejeita ou intervém</w:t>
            </w:r>
          </w:p>
        </w:tc>
        <w:tc>
          <w:tcPr>
            <w:tcW w:type="dxa" w:w="3005"/>
            <w:shd w:val="clear" w:fill="FBE4E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Escada automática: sobe de modelo, troca de especialista, redivide a tarefa, e só então bloqueia</w:t>
            </w:r>
          </w:p>
        </w:tc>
      </w:tr>
      <w:tr>
        <w:trPr>
          <w:cantSplit/>
        </w:trPr>
        <w:tc>
          <w:tcPr>
            <w:tcW w:type="dxa" w:w="1077"/>
            <w:shd w:val="clear" w:fill="FBE4E2"/>
          </w:tcPr>
          <w:p>
            <w:pPr>
              <w:spacing w:after="20"/>
              <w:jc w:val="center"/>
            </w:pPr>
            <w:r/>
            <w:r>
              <w:rPr>
                <w:b/>
                <w:color w:val="A82A21"/>
                <w:sz w:val="15"/>
              </w:rPr>
              <w:t>DIFERE</w:t>
            </w:r>
          </w:p>
        </w:tc>
        <w:tc>
          <w:tcPr>
            <w:tcW w:type="dxa" w:w="1871"/>
            <w:shd w:val="clear" w:fill="FBE4E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Alcance</w:t>
            </w:r>
          </w:p>
        </w:tc>
        <w:tc>
          <w:tcPr>
            <w:tcW w:type="dxa" w:w="3005"/>
            <w:shd w:val="clear" w:fill="FBE4E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Software, sobre o catálogo de stacks</w:t>
            </w:r>
          </w:p>
        </w:tc>
        <w:tc>
          <w:tcPr>
            <w:tcW w:type="dxa" w:w="3005"/>
            <w:shd w:val="clear" w:fill="FBE4E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Qualquer artefato: o domínio declarado roteia trilhas distintas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b/>
          <w:color w:val="1A1A1A"/>
          <w:sz w:val="21"/>
        </w:rPr>
        <w:t>As três diferenças que decidem tudo</w:t>
      </w:r>
    </w:p>
    <w:p>
      <w:pPr>
        <w:pStyle w:val="ListBullet"/>
        <w:spacing w:after="60"/>
        <w:ind w:left="397"/>
      </w:pPr>
      <w:r>
        <w:rPr>
          <w:b/>
          <w:sz w:val="20"/>
        </w:rPr>
        <w:t>O laço de controle.</w:t>
      </w:r>
      <w:r>
        <w:rPr>
          <w:b w:val="0"/>
          <w:sz w:val="20"/>
        </w:rPr>
        <w:t xml:space="preserve"> No softwarefabrik o avanço é uma decisão humana: o comitê prepara o parecer, e a pessoa aprova. Aqui é derivado por código — a máquina de estados lê as dependências e o estado de cada tarefa e monta a fila sozinha. Não é a mesma arquitetura com um botão a menos: sem ninguém para interromper, o sistema precisa contar os próprios fracassos, e é daí que vem todo o resto.</w:t>
      </w:r>
    </w:p>
    <w:p>
      <w:pPr>
        <w:pStyle w:val="ListBullet"/>
        <w:spacing w:after="60"/>
        <w:ind w:left="397"/>
      </w:pPr>
      <w:r>
        <w:rPr>
          <w:b/>
          <w:sz w:val="20"/>
        </w:rPr>
        <w:t>A unidade de trabalho.</w:t>
      </w:r>
      <w:r>
        <w:rPr>
          <w:b w:val="0"/>
          <w:sz w:val="20"/>
        </w:rPr>
        <w:t xml:space="preserve"> Lá, a unidade é a execução: um ciclo sobre o projeto, que começa, termina e se encerra. Aqui, é a tarefa — entidade nomeada, com estado, dependências e arquivos declarados, que existe em arquivo antes e depois da execução. É essa granularidade que permite retomar no meio, paralelizar e redividir o que falhou.</w:t>
      </w:r>
    </w:p>
    <w:p>
      <w:pPr>
        <w:pStyle w:val="ListBullet"/>
        <w:spacing w:after="60"/>
        <w:ind w:left="397"/>
      </w:pPr>
      <w:r>
        <w:rPr>
          <w:b/>
          <w:sz w:val="20"/>
        </w:rPr>
        <w:t>A forma de impor a autoridade.</w:t>
      </w:r>
      <w:r>
        <w:rPr>
          <w:b w:val="0"/>
          <w:sz w:val="20"/>
        </w:rPr>
        <w:t xml:space="preserve"> Os dois querem a mesma coisa: que quem revisa não conserte por conta própria, escondendo o defeito em vez de reportá-lo. O softwarefabrik garante pela interface, com a pessoa atrás do portão; aqui, pela ausência da ferramenta — o revisor não deixa de corrigir porque foi instruído a não corrigir, mas porque a ação não existe para ele.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fill="F2F5FA"/>
          </w:tcPr>
          <w:p>
            <w:pPr>
              <w:spacing w:after="0"/>
            </w:pPr>
            <w:r/>
            <w:r>
              <w:rPr>
                <w:b/>
                <w:color w:val="184F95"/>
                <w:sz w:val="17"/>
              </w:rPr>
              <w:t xml:space="preserve">EM UMA FRASE  </w:t>
            </w:r>
            <w:r>
              <w:rPr>
                <w:sz w:val="19"/>
              </w:rPr>
              <w:t>As três se somam num único ponto: o softwarefabrik é a arquitetura mais próxima justamente porque também tira o estado da conversa — e se separa dela porque mantém a pessoa dentro do laço. Este trabalho tira a pessoa do laço sem perder a separação entre construir e aprovar, e paga esse preço com a maquinaria que os outros não precisam ter: contagem de ciclos, escalonamento de modelo, troca de especialista e redivisão automática de tarefa.</w:t>
            </w:r>
          </w:p>
        </w:tc>
      </w:tr>
    </w:tbl>
    <w:p>
      <w:pPr>
        <w:spacing w:after="80"/>
      </w:pPr>
    </w:p>
    <w:p>
      <w:pPr>
        <w:keepNext/>
        <w:spacing w:before="320" w:after="100"/>
      </w:pPr>
      <w:r>
        <w:rPr>
          <w:b/>
          <w:color w:val="184F95"/>
          <w:sz w:val="26"/>
        </w:rPr>
        <w:t>5.  Onde os quatro se colocam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rPr>
          <w:cantSplit/>
        </w:trPr>
        <w:tc>
          <w:tcPr>
            <w:tcW w:type="dxa" w:w="1644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5"/>
              </w:rPr>
              <w:t>Dimensão</w:t>
            </w:r>
          </w:p>
        </w:tc>
        <w:tc>
          <w:tcPr>
            <w:tcW w:type="dxa" w:w="1871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5"/>
              </w:rPr>
              <w:t>ChatDev</w:t>
            </w:r>
          </w:p>
        </w:tc>
        <w:tc>
          <w:tcPr>
            <w:tcW w:type="dxa" w:w="1871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5"/>
              </w:rPr>
              <w:t>MetaGPT</w:t>
            </w:r>
          </w:p>
        </w:tc>
        <w:tc>
          <w:tcPr>
            <w:tcW w:type="dxa" w:w="1871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5"/>
              </w:rPr>
              <w:t>softwarefabrik.io</w:t>
            </w:r>
          </w:p>
        </w:tc>
        <w:tc>
          <w:tcPr>
            <w:tcW w:type="dxa" w:w="1928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5"/>
              </w:rPr>
              <w:t>Este trabalho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Unidade de trabalho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Subtarefa de uma fase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Etapa do procedimento, com artefato de saída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Uma execução sobre o projeto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Tarefa nomeada, com estado, dependências e arquivos declarados</w:t>
            </w:r>
          </w:p>
        </w:tc>
      </w:tr>
      <w:tr>
        <w:trPr>
          <w:cantSplit/>
        </w:trPr>
        <w:tc>
          <w:tcPr>
            <w:tcW w:type="dxa" w:w="1644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De onde vem a estrutura</w:t>
            </w:r>
          </w:p>
        </w:tc>
        <w:tc>
          <w:tcPr>
            <w:tcW w:type="dxa" w:w="1871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Elenco de papéis fixo</w:t>
            </w:r>
          </w:p>
        </w:tc>
        <w:tc>
          <w:tcPr>
            <w:tcW w:type="dxa" w:w="1871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Procedimento fixo</w:t>
            </w:r>
          </w:p>
        </w:tc>
        <w:tc>
          <w:tcPr>
            <w:tcW w:type="dxa" w:w="1871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Catálogo de modelos de stack</w:t>
            </w:r>
          </w:p>
        </w:tc>
        <w:tc>
          <w:tcPr>
            <w:tcW w:type="dxa" w:w="1928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Sintetizada do próprio pedido, projeto a projeto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Controle de qualidade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Revisor e testador dentro do diálogo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Revisão embutida nas etapas, sobre artefato estruturado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Comitê de seis revisores em paralelo, e decisão humana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Dois portões em série, com perguntas distintas: funciona? é o que foi pedido?</w:t>
            </w:r>
          </w:p>
        </w:tc>
      </w:tr>
      <w:tr>
        <w:trPr>
          <w:cantSplit/>
        </w:trPr>
        <w:tc>
          <w:tcPr>
            <w:tcW w:type="dxa" w:w="1644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Resposta ao fracasso</w:t>
            </w:r>
          </w:p>
        </w:tc>
        <w:tc>
          <w:tcPr>
            <w:tcW w:type="dxa" w:w="1871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Teto de rodadas; ao atingir, segue adiante</w:t>
            </w:r>
          </w:p>
        </w:tc>
        <w:tc>
          <w:tcPr>
            <w:tcW w:type="dxa" w:w="1871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Repetição dentro da etapa</w:t>
            </w:r>
          </w:p>
        </w:tc>
        <w:tc>
          <w:tcPr>
            <w:tcW w:type="dxa" w:w="1871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O operador decide: aprova, rejeita ou intervém</w:t>
            </w:r>
          </w:p>
        </w:tc>
        <w:tc>
          <w:tcPr>
            <w:tcW w:type="dxa" w:w="1928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Escada: sobe de modelo, troca de especialista, redivide a tarefa, só então bloqueia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Concorrência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Sequencial: uma conversa por vez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Sequencial, com o quadro desacoplando os papéis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Uma execução por vez, isolada em contêiner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Até três tarefas em paralelo, quando os arquivos declarados não se cruzam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b w:val="0"/>
          <w:i w:val="0"/>
          <w:sz w:val="20"/>
        </w:rPr>
        <w:t xml:space="preserve">A linha a ler com atenção é </w:t>
      </w:r>
      <w:r>
        <w:rPr>
          <w:b/>
          <w:i w:val="0"/>
          <w:sz w:val="20"/>
        </w:rPr>
        <w:t>de onde vem a estrutura</w:t>
      </w:r>
      <w:r>
        <w:rPr>
          <w:b w:val="0"/>
          <w:i w:val="0"/>
          <w:sz w:val="20"/>
        </w:rPr>
        <w:t>: os três primeiros partem de um catálogo — de papéis, de etapas ou de stacks — definido antes do pedido, e um catálogo delimita o que o sistema aceita construir. Aqui a estrutura é derivada do pedido.</w:t>
      </w:r>
    </w:p>
    <w:p>
      <w:pPr>
        <w:keepNext/>
        <w:spacing w:before="320" w:after="100"/>
      </w:pPr>
      <w:r>
        <w:rPr>
          <w:b/>
          <w:color w:val="184F95"/>
          <w:sz w:val="26"/>
        </w:rPr>
        <w:t>6.  Registro do desenvolvimento</w:t>
      </w:r>
    </w:p>
    <w:p>
      <w:pPr>
        <w:spacing w:after="120"/>
        <w:jc w:val="both"/>
      </w:pPr>
      <w:r>
        <w:rPr>
          <w:b w:val="0"/>
          <w:i w:val="0"/>
          <w:sz w:val="20"/>
        </w:rPr>
        <w:t>As decisões deste trabalho têm data e commit no repositório público, e aparecem em sequência ao longo de seis semanas, cada uma depois do problema que a motivou: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cantSplit/>
        </w:trPr>
        <w:tc>
          <w:tcPr>
            <w:tcW w:type="dxa" w:w="1247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Commit</w:t>
            </w:r>
          </w:p>
        </w:tc>
        <w:tc>
          <w:tcPr>
            <w:tcW w:type="dxa" w:w="907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Data</w:t>
            </w:r>
          </w:p>
        </w:tc>
        <w:tc>
          <w:tcPr>
            <w:tcW w:type="dxa" w:w="6917"/>
            <w:shd w:val="clear" w:fill="2A78D6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Decisão arquitetural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8215dbf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01/08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Índice do projeto entregue pronto, no lugar da varredura de arquivos pelo agente</w:t>
            </w:r>
          </w:p>
        </w:tc>
      </w:tr>
      <w:tr>
        <w:trPr>
          <w:cantSplit/>
        </w:trPr>
        <w:tc>
          <w:tcPr>
            <w:tcW w:type="dxa" w:w="1247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2255150</w:t>
            </w:r>
          </w:p>
        </w:tc>
        <w:tc>
          <w:tcPr>
            <w:tcW w:type="dxa" w:w="907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01/08</w:t>
            </w:r>
          </w:p>
        </w:tc>
        <w:tc>
          <w:tcPr>
            <w:tcW w:type="dxa" w:w="6917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Roteamento por domínio: o elenco de agentes deixa de ser único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1a41ca8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02/08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 contexto entregue a um agente passa a ser função do papel dele, e não do projeto</w:t>
            </w:r>
          </w:p>
        </w:tc>
      </w:tr>
      <w:tr>
        <w:trPr>
          <w:cantSplit/>
        </w:trPr>
        <w:tc>
          <w:tcPr>
            <w:tcW w:type="dxa" w:w="1247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91559b8</w:t>
            </w:r>
          </w:p>
        </w:tc>
        <w:tc>
          <w:tcPr>
            <w:tcW w:type="dxa" w:w="907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02/08</w:t>
            </w:r>
          </w:p>
        </w:tc>
        <w:tc>
          <w:tcPr>
            <w:tcW w:type="dxa" w:w="6917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 laço de coordenação sai do modelo e vira código testado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8017c41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02/08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 avanço entre tarefas deixa de depender de julgamento humano</w:t>
            </w:r>
          </w:p>
        </w:tc>
      </w:tr>
      <w:tr>
        <w:trPr>
          <w:cantSplit/>
        </w:trPr>
        <w:tc>
          <w:tcPr>
            <w:tcW w:type="dxa" w:w="1247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9a1c186</w:t>
            </w:r>
          </w:p>
        </w:tc>
        <w:tc>
          <w:tcPr>
            <w:tcW w:type="dxa" w:w="907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14/08</w:t>
            </w:r>
          </w:p>
        </w:tc>
        <w:tc>
          <w:tcPr>
            <w:tcW w:type="dxa" w:w="6917"/>
            <w:shd w:val="clear" w:fill="F5F5F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 verificador passa a declarar o grau de prova de cada critério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e0bffee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23/08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 portão de verificação é fechado nos dois caminhos de saída do construtor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b w:val="0"/>
          <w:i w:val="0"/>
          <w:sz w:val="20"/>
        </w:rPr>
        <w:t>Em operação, a primeira versão entregou 86 tarefas concluídas de 89, em três projetos de domínios distintos: um jogo de tabuleiro web multijogador em tempo real; um serviço embarcado numa impressora 3D; e uma plataforma de dados com análise por modelos de linguagem.</w:t>
      </w:r>
    </w:p>
    <w:p>
      <w:pPr>
        <w:keepNext/>
        <w:spacing w:before="320" w:after="100"/>
      </w:pPr>
      <w:r>
        <w:rPr>
          <w:b/>
          <w:color w:val="184F95"/>
          <w:sz w:val="26"/>
        </w:rPr>
        <w:t>Referências</w:t>
      </w:r>
    </w:p>
    <w:p>
      <w:pPr>
        <w:pStyle w:val="ListBullet"/>
        <w:spacing w:after="60"/>
        <w:ind w:left="397"/>
      </w:pPr>
      <w:r>
        <w:rPr>
          <w:b w:val="0"/>
          <w:sz w:val="17"/>
        </w:rPr>
        <w:t>QIAN, C. et al. ChatDev: Communicative Agents for Software Development. arXiv:2307.07924, 2023.</w:t>
      </w:r>
    </w:p>
    <w:p>
      <w:pPr>
        <w:pStyle w:val="ListBullet"/>
        <w:spacing w:after="60"/>
        <w:ind w:left="397"/>
      </w:pPr>
      <w:r>
        <w:rPr>
          <w:b w:val="0"/>
          <w:sz w:val="17"/>
        </w:rPr>
        <w:t>HONG, S. et al. MetaGPT: Meta Programming for a Multi-Agent Collaborative Framework. arXiv:2308.00352, 2023.</w:t>
      </w:r>
    </w:p>
    <w:p>
      <w:pPr>
        <w:pStyle w:val="ListBullet"/>
        <w:spacing w:after="60"/>
        <w:ind w:left="397"/>
      </w:pPr>
      <w:r>
        <w:rPr>
          <w:b w:val="0"/>
          <w:sz w:val="17"/>
        </w:rPr>
        <w:t>JANDA, M. Agentic Software Factory. softwarefabrik.io, v0.30.0, 2026.</w:t>
      </w:r>
    </w:p>
    <w:p>
      <w:pPr>
        <w:pStyle w:val="ListBullet"/>
        <w:spacing w:after="60"/>
        <w:ind w:left="397"/>
      </w:pPr>
      <w:r>
        <w:rPr>
          <w:b w:val="0"/>
          <w:sz w:val="17"/>
        </w:rPr>
        <w:t>CUSUMANO, M. Japan's Software Factories. Oxford University Press, 1991.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