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84F95"/>
          <w:sz w:val="42"/>
        </w:rPr>
        <w:t>Estado da arte e delimitação de originalidade</w:t>
      </w:r>
    </w:p>
    <w:p>
      <w:pPr>
        <w:spacing w:after="80"/>
      </w:pPr>
      <w:r>
        <w:rPr>
          <w:color w:val="555B66"/>
          <w:sz w:val="23"/>
        </w:rPr>
        <w:t>Fábrica de software multi-agente — análise comparativa</w:t>
      </w:r>
    </w:p>
    <w:p>
      <w:pPr>
        <w:spacing w:after="280"/>
        <w:pBdr>
          <w:bottom w:val="single" w:sz="6" w:color="C9D1DD" w:space="3"/>
        </w:pBdr>
      </w:pPr>
      <w:r>
        <w:rPr>
          <w:color w:val="555B66"/>
          <w:sz w:val="17"/>
        </w:rPr>
        <w:t>Enzo Consulo  ·  29 de agosto de 2026  ·  repositório público: github.com/enzoconsulo/Generic-Multi-Agents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Este documento responde a três perguntas: o que já existe que se parece com este trabalho, onde há sobreposição real, e o que o distingue. A conclusão, adiantada: </w:t>
      </w:r>
      <w:r>
        <w:rPr>
          <w:b/>
          <w:i w:val="0"/>
          <w:sz w:val="20"/>
        </w:rPr>
        <w:t>o trabalho não é plágio, mas vários de seus componentes não são originais</w:t>
      </w:r>
      <w:r>
        <w:rPr>
          <w:b w:val="0"/>
          <w:i w:val="0"/>
          <w:sz w:val="20"/>
        </w:rPr>
        <w:t xml:space="preserve"> — e a diferença entre honestidade acadêmica e problema é citar, não ser inédito. Um trabalho de conclusão não precisa inventar; precisa dizer com precisão o que herdou e o que acrescentou.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1.  O que existe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1.1  Agentic Software Factory (softwarefabrik.io)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Produto comercial, de Martin Janda, versão v0.30.0 (2026). É o projeto mais próximo, e a semelhança de vocabulário é real: linha de produção estruturada, portão de qualidade, disciplina de git, modelo por papel. Opera em três fases — assistente, execução e </w:t>
      </w:r>
      <w:r>
        <w:rPr>
          <w:b/>
          <w:i w:val="0"/>
          <w:sz w:val="20"/>
        </w:rPr>
        <w:t>sign-off</w:t>
      </w:r>
      <w:r>
        <w:rPr>
          <w:b w:val="0"/>
          <w:i w:val="0"/>
          <w:sz w:val="20"/>
        </w:rPr>
        <w:t>. A entrada é um assistente de seis passos com dezoito modelos de stack; cada execução roda em contêiner Docker efêmero, com sistema de arquivos somente leitura e sem rede; o portão final tem seis papéis revisores.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2F5FA"/>
          </w:tcPr>
          <w:p>
            <w:pPr>
              <w:spacing w:after="0"/>
            </w:pPr>
            <w:r/>
            <w:r>
              <w:rPr>
                <w:b/>
                <w:color w:val="184F95"/>
                <w:sz w:val="17"/>
              </w:rPr>
              <w:t xml:space="preserve">A DIVERGÊNCIA ESTRUTURAL  </w:t>
            </w:r>
            <w:r>
              <w:rPr>
                <w:sz w:val="19"/>
              </w:rPr>
              <w:t>O produto rejeita explicitamente a autonomia: há aprovação humana, com exibição das diferenças, antes de cada passo. Este trabalho vai na direção oposta — uma única intervenção humana, no pedido inicial, e os portões são operados por agentes. São respostas opostas à mesma pergunta, e a autonomia é o problema mais difícil dos dois.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A1A1A"/>
          <w:sz w:val="21"/>
        </w:rPr>
        <w:t>1.2  A literatura acadêmica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ChatDev (arXiv:2307.07924) e MetaGPT, ambos de 2023, são a origem acadêmica da ideia de papéis especializados de agentes produzindo software. O ChatDev organiza papéis de empresa — diretor executivo, diretor técnico, programador, testador, revisor — num ciclo em cascata, com cada fase conduzida por duplas de agentes em diálogo. O MetaGPT usa a mesma metáfora, com procedimentos operacionais padrão codificados. </w:t>
      </w:r>
      <w:r>
        <w:rPr>
          <w:b/>
          <w:i w:val="0"/>
          <w:sz w:val="20"/>
        </w:rPr>
        <w:t>Qualquer banca que conheça a área cobrará a citação destes dois.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1.3  Frameworks de agentes em Elixir/OTP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Este é o achado mais desconfortável, e precisa ser dito: </w:t>
      </w:r>
      <w:r>
        <w:rPr>
          <w:b/>
          <w:i w:val="0"/>
          <w:sz w:val="20"/>
        </w:rPr>
        <w:t>agente como processo supervisionado não é uma ideia original deste trabalho</w:t>
      </w:r>
      <w:r>
        <w:rPr>
          <w:b w:val="0"/>
          <w:i w:val="0"/>
          <w:sz w:val="20"/>
        </w:rPr>
        <w:t>. É prática estabelecida na comunidade Elixir, com implementações públicas — Cortex (orquestração multi-agente com fluxos em grafo acíclico e painéis ao vivo), Sagents (supervisão OTP, delegação a subagentes, painel LiveView), SwarmEx e Synapse (com persistência em PostgreSQL). O argumento da escolha de plataforma está correto, mas não é inédito, e apresentá-lo como descoberta seria um erro que um avaliador da área percebe.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1.4  O campo em 2026, e a origem do termo</w:t>
      </w:r>
    </w:p>
    <w:p>
      <w:pPr>
        <w:spacing w:after="120"/>
        <w:jc w:val="both"/>
      </w:pPr>
      <w:r>
        <w:rPr>
          <w:b w:val="0"/>
          <w:i w:val="0"/>
          <w:sz w:val="20"/>
        </w:rPr>
        <w:t>A Factory.ai posiciona-se comercialmente como fábrica de software agêntica; em repositórios públicos há, entre outros, The Dark Factory, Galley, Prestige e Lorg. E o termo em si não é da era da inteligência artificial: vem da engenharia de software das décadas de 1960 a 1990, notadamente de Cusumano, Japan's Software Factories (1991), que descreve linhas de produção com processo padronizado e reúso.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2.  Onde há sobreposição real</w:t>
      </w:r>
    </w:p>
    <w:p>
      <w:pPr>
        <w:spacing w:after="120"/>
        <w:jc w:val="both"/>
      </w:pPr>
      <w:r>
        <w:rPr>
          <w:b w:val="0"/>
          <w:i w:val="0"/>
          <w:sz w:val="20"/>
        </w:rPr>
        <w:t>Sem eufemismo. Cada linha abaixo é algo que este trabalho tem e outros também têm.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876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Mecanismo</w:t>
            </w:r>
          </w:p>
        </w:tc>
        <w:tc>
          <w:tcPr>
            <w:tcW w:type="dxa" w:w="4195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Quem já tem</w:t>
            </w:r>
          </w:p>
        </w:tc>
      </w:tr>
      <w:tr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Termo “fábrica de software” e a metáfora da linha de produção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Cusumano (1991); softwarefabrik; Factory.ai</w:t>
            </w:r>
          </w:p>
        </w:tc>
      </w:tr>
      <w:tr>
        <w:tc>
          <w:tcPr>
            <w:tcW w:type="dxa" w:w="4876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Agentes com papéis especializados produzindo software</w:t>
            </w:r>
          </w:p>
        </w:tc>
        <w:tc>
          <w:tcPr>
            <w:tcW w:type="dxa" w:w="4195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ChatDev, MetaGPT (2023)</w:t>
            </w:r>
          </w:p>
        </w:tc>
      </w:tr>
      <w:tr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Portão de qualidade antes de integrar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softwarefabrik; Galley; Dark Factory</w:t>
            </w:r>
          </w:p>
        </w:tc>
      </w:tr>
      <w:tr>
        <w:tc>
          <w:tcPr>
            <w:tcW w:type="dxa" w:w="4876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Modelo mais forte para uns papéis, mais barato para outros</w:t>
            </w:r>
          </w:p>
        </w:tc>
        <w:tc>
          <w:tcPr>
            <w:tcW w:type="dxa" w:w="4195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softwarefabrik</w:t>
            </w:r>
          </w:p>
        </w:tc>
      </w:tr>
      <w:tr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Um commit por unidade de trabalho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softwarefabrik; Dark Factory</w:t>
            </w:r>
          </w:p>
        </w:tc>
      </w:tr>
      <w:tr>
        <w:tc>
          <w:tcPr>
            <w:tcW w:type="dxa" w:w="4876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Estimativa de custo por execução</w:t>
            </w:r>
          </w:p>
        </w:tc>
        <w:tc>
          <w:tcPr>
            <w:tcW w:type="dxa" w:w="4195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softwarefabrik</w:t>
            </w:r>
          </w:p>
        </w:tc>
      </w:tr>
      <w:tr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Agente como processo supervisionado (OTP)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Cortex, Sagents, SwarmEx, Synapse</w:t>
            </w:r>
          </w:p>
        </w:tc>
      </w:tr>
      <w:tr>
        <w:tc>
          <w:tcPr>
            <w:tcW w:type="dxa" w:w="4876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Painel ao vivo acompanhando agentes</w:t>
            </w:r>
          </w:p>
        </w:tc>
        <w:tc>
          <w:tcPr>
            <w:tcW w:type="dxa" w:w="4195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Cortex, Sagents</w:t>
            </w:r>
          </w:p>
        </w:tc>
      </w:tr>
      <w:tr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Dirigir a ferramenta de linha de comando por arquivos de papel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softwarefabrik (convergência de substrato)</w:t>
            </w:r>
          </w:p>
        </w:tc>
      </w:tr>
      <w:tr>
        <w:tc>
          <w:tcPr>
            <w:tcW w:type="dxa" w:w="4876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Fila durável com persistência em PostgreSQL</w:t>
            </w:r>
          </w:p>
        </w:tc>
        <w:tc>
          <w:tcPr>
            <w:tcW w:type="dxa" w:w="4195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Synapse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i w:val="0"/>
          <w:sz w:val="20"/>
        </w:rPr>
        <w:t>São dez itens. Um trabalho que apresentasse os dez como contribuição própria estaria em apuros — não por plágio, mas por falta de revisão da literatura.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3.  O que distingue este trabalho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3.1  A trilha não-software, com escada de prova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É a parte mais provavelmente original: não foi encontrado equivalente publicado. O eixo que separa os dois casos não é “é código?”, e sim </w:t>
      </w:r>
      <w:r>
        <w:rPr>
          <w:b/>
          <w:i w:val="0"/>
          <w:sz w:val="20"/>
        </w:rPr>
        <w:t>como se prova que ficou pronto</w:t>
      </w:r>
      <w:r>
        <w:rPr>
          <w:b w:val="0"/>
          <w:i w:val="0"/>
          <w:sz w:val="20"/>
        </w:rPr>
        <w:t>. Em software a prova vem de graça — o programa roda e passa ou quebra. Fora dele não vem, e é aí que o desenho degeneraria, com o verificador virando um segundo revisor e dois julgamentos subjetivos custando em dobro.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 solução tem três peças: todo critério fica em um de três degraus — executado, inspecionado ou julgado — e o verificador é </w:t>
      </w:r>
      <w:r>
        <w:rPr>
          <w:b/>
          <w:i w:val="0"/>
          <w:sz w:val="20"/>
        </w:rPr>
        <w:t>obrigado a rotular</w:t>
      </w:r>
      <w:r>
        <w:rPr>
          <w:b w:val="0"/>
          <w:i w:val="0"/>
          <w:sz w:val="20"/>
        </w:rPr>
        <w:t xml:space="preserve"> qual usou; a primeira tarefa instala o verificador, antes de qualquer parte do artefato; e a fonte é texto versionado, com o binário gerado por comando, porque versionar o binário como fonte apagaria o portão da revisão. A proporção de critérios apenas julgados fica visível por projeto: quando ela sobe, o sistema está operando com um portão e meio, e isso vira sinal de replanejamento.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2F5FA"/>
          </w:tcPr>
          <w:p>
            <w:pPr>
              <w:spacing w:after="0"/>
            </w:pPr>
            <w:r/>
            <w:r>
              <w:rPr>
                <w:b/>
                <w:color w:val="184F95"/>
                <w:sz w:val="17"/>
              </w:rPr>
              <w:t xml:space="preserve">REFERÊNCIA  </w:t>
            </w:r>
            <w:r>
              <w:rPr>
                <w:sz w:val="19"/>
              </w:rPr>
              <w:t>Commit 2255150 (01/08) cria a trilha genérica; 9a1c186 (14/08) estende o rótulo de grau de prova também à trilha de software.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A1A1A"/>
          <w:sz w:val="21"/>
        </w:rPr>
        <w:t>3.2  Reprojeto guiado pela telemetria da própria operação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Esta é a contribuição de pesquisa, e a que nenhum outro projeto pode ter, porque depende de dados que só existem neste repositório. A primeira versão rodou seis semanas em uso real, e a segunda é reprojetada a partir do que foi medido: 93,14% dos tokens de entrada são leitura de memória temporária do provedor, e a escrita, com 6,66% dos tokens, carrega cerca de metade da conta; 78% do custo estava em sessões do coordenador fazendo trabalho de máquina de estados. </w:t>
      </w:r>
      <w:r>
        <w:rPr>
          <w:b/>
          <w:i w:val="0"/>
          <w:sz w:val="20"/>
        </w:rPr>
        <w:t>Nenhum dos projetos pesquisados publica medição da própria operação</w:t>
      </w:r>
      <w:r>
        <w:rPr>
          <w:b w:val="0"/>
          <w:i w:val="0"/>
          <w:sz w:val="20"/>
        </w:rPr>
        <w:t xml:space="preserve"> — os acadêmicos medem qualidade de saída em conjuntos de referência; o comercial estima custo antes de executar, e não mede o gasto acumulado para reprojetar.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3.3  Dois portões que fazem perguntas diferentes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Não são dois níveis de zelo. O verificador pergunta “funciona?” e executa os critérios; o revisor pergunta “é o que foi pedido?” e “está correto?”, em seções separadas. O ponto não-óbvio: </w:t>
      </w:r>
      <w:r>
        <w:rPr>
          <w:b/>
          <w:i w:val="0"/>
          <w:sz w:val="20"/>
        </w:rPr>
        <w:t>uma entrega pode passar em todos os critérios, não ter defeito nenhum, e ainda assim não ser a tarefa</w:t>
      </w:r>
      <w:r>
        <w:rPr>
          <w:b w:val="0"/>
          <w:i w:val="0"/>
          <w:sz w:val="20"/>
        </w:rPr>
        <w:t>, quando o critério foi mal escrito. Reprovar por não-conformidade não exige encontrar defeito. Não foi encontrada essa separação articulada nos projetos pesquisados.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3.4  O coordenador não é um agente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No ChatDev e no MetaGPT a coordenação acontece por diálogo entre agentes; na softwarefabrik, quem coordena é o humano. Aqui, quem decide ordem, promoção, roteamento e escalonamento é código determinístico. E a razão não foi estética: mediu-se que o coordenador baseado em modelo consumia trinta e seis idas ao modelo e cerca de 17% do custo de um trabalho para fazer o que é, literalmente, uma máquina de estados. A fronteira que ficou: </w:t>
      </w:r>
      <w:r>
        <w:rPr>
          <w:b/>
          <w:i w:val="0"/>
          <w:sz w:val="20"/>
        </w:rPr>
        <w:t>cabe num teste? então é código</w:t>
      </w:r>
      <w:r>
        <w:rPr>
          <w:b w:val="0"/>
          <w:i w:val="0"/>
          <w:sz w:val="20"/>
        </w:rPr>
        <w:t>. Replanejar, julgar um marco reprovado e redigir relatório continuam no modelo, porque são julgamento.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2F5FA"/>
          </w:tcPr>
          <w:p>
            <w:pPr>
              <w:spacing w:after="0"/>
            </w:pPr>
            <w:r/>
            <w:r>
              <w:rPr>
                <w:b/>
                <w:color w:val="184F95"/>
                <w:sz w:val="17"/>
              </w:rPr>
              <w:t xml:space="preserve">REFERÊNCIA  </w:t>
            </w:r>
            <w:r>
              <w:rPr>
                <w:sz w:val="19"/>
              </w:rPr>
              <w:t>Commits 91559b8 (02/08), que converte o laço em código testado, e 8017c41 (02/08), cuja mensagem registra: “o pipeline decide sozinho — sem portão de julgamento humano”.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A1A1A"/>
          <w:sz w:val="21"/>
        </w:rPr>
        <w:t>3.5  Autoridade como ausência de ferramenta</w:t>
      </w:r>
    </w:p>
    <w:p>
      <w:pPr>
        <w:spacing w:after="120"/>
        <w:jc w:val="both"/>
      </w:pPr>
      <w:r>
        <w:rPr>
          <w:b w:val="0"/>
          <w:i w:val="0"/>
          <w:sz w:val="20"/>
        </w:rPr>
        <w:t>“Quem revisa não corrige” é regra em vários projetos. Aqui o revisor não recebe a ferramenta de escrever: a regra deixa de ser interpretável e vira impossibilidade, verificada por um teste que percorre o catálogo de ferramentas de cada papel. Restringir ferramentas por papel é prática conhecida; o que parece próprio é usá-la como o mecanismo de separação de autoridade, e testá-la negativamente.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3.6  A escada de resposta ao fracasso</w:t>
      </w:r>
    </w:p>
    <w:p>
      <w:pPr>
        <w:spacing w:after="120"/>
        <w:jc w:val="both"/>
      </w:pPr>
      <w:r>
        <w:rPr>
          <w:b w:val="0"/>
          <w:i w:val="0"/>
          <w:sz w:val="20"/>
        </w:rPr>
        <w:t>Quatro degraus, cada um disparado por fato registrado: a primeira reprovação sobe de modelo; a segunda sob o mesmo especialista troca de especialista; três ciclos esgotados replanejam, com o planejador quebrando a tarefa em duas ou três menores; e, esgotando de novo, bloqueia. Limite de tentativas e escalonamento de modelo são comuns. O terceiro degrau é o incomum: reconhecer que o problema pode ser de dimensionamento da tarefa, não de execução, e agir sobre isso automaticamente.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3.7  Criação sob demanda</w:t>
      </w:r>
    </w:p>
    <w:p>
      <w:pPr>
        <w:spacing w:after="120"/>
        <w:jc w:val="both"/>
      </w:pPr>
      <w:r>
        <w:rPr>
          <w:b w:val="0"/>
          <w:i w:val="0"/>
          <w:sz w:val="20"/>
        </w:rPr>
        <w:t>Nada é pré-fabricado. De uma frase em linguagem natural saem especificação, plano em fases e de oito a vinte tarefas com dependências declaradas; a equipe é sintetizada em dois a cinco especialistas a partir do próprio pedido; e quando o pedido não cabe nas categorias existentes, o planejador cunha o domínio, declarando o trio artefato, geração e verificação. O contraste é direto: a softwarefabrik oferece dezoito modelos de stack, e ChatDev e MetaGPT têm elenco fixo. Aqui não há modelo nem elenco — há síntese.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4.  Comparação lado a lado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70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Eixo</w:t>
            </w:r>
          </w:p>
        </w:tc>
        <w:tc>
          <w:tcPr>
            <w:tcW w:type="dxa" w:w="260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Este trabalho</w:t>
            </w:r>
          </w:p>
        </w:tc>
        <w:tc>
          <w:tcPr>
            <w:tcW w:type="dxa" w:w="243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softwarefabrik.io</w:t>
            </w:r>
          </w:p>
        </w:tc>
        <w:tc>
          <w:tcPr>
            <w:tcW w:type="dxa" w:w="232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ChatDev / MetaGPT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Quem aprova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Agentes, sem a ferramenta de escrever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humano, antes de cada passo</w:t>
            </w:r>
          </w:p>
        </w:tc>
        <w:tc>
          <w:tcPr>
            <w:tcW w:type="dxa" w:w="232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Agentes revisores, em diálogo</w:t>
            </w:r>
          </w:p>
        </w:tc>
      </w:tr>
      <w:tr>
        <w:tc>
          <w:tcPr>
            <w:tcW w:type="dxa" w:w="170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Quem coordena</w:t>
            </w:r>
          </w:p>
        </w:tc>
        <w:tc>
          <w:tcPr>
            <w:tcW w:type="dxa" w:w="260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Código determinístico</w:t>
            </w:r>
          </w:p>
        </w:tc>
        <w:tc>
          <w:tcPr>
            <w:tcW w:type="dxa" w:w="243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humano, pela interface</w:t>
            </w:r>
          </w:p>
        </w:tc>
        <w:tc>
          <w:tcPr>
            <w:tcW w:type="dxa" w:w="232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Diálogo entre agentes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Intervenção humana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Uma só: o pedido inicial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Por aprovação; autonomia rejeitada</w:t>
            </w:r>
          </w:p>
        </w:tc>
        <w:tc>
          <w:tcPr>
            <w:tcW w:type="dxa" w:w="232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Pedido inicial</w:t>
            </w:r>
          </w:p>
        </w:tc>
      </w:tr>
      <w:tr>
        <w:tc>
          <w:tcPr>
            <w:tcW w:type="dxa" w:w="170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Origem do projeto</w:t>
            </w:r>
          </w:p>
        </w:tc>
        <w:tc>
          <w:tcPr>
            <w:tcW w:type="dxa" w:w="260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Sob demanda, sintetizada do pedido</w:t>
            </w:r>
          </w:p>
        </w:tc>
        <w:tc>
          <w:tcPr>
            <w:tcW w:type="dxa" w:w="243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Dezoito modelos num assistente</w:t>
            </w:r>
          </w:p>
        </w:tc>
        <w:tc>
          <w:tcPr>
            <w:tcW w:type="dxa" w:w="232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Elenco fixo de papéis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Isolamento em paralelo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Arquivos declarados, verificados pelo motor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Contêiner Docker efêmero</w:t>
            </w:r>
          </w:p>
        </w:tc>
        <w:tc>
          <w:tcPr>
            <w:tcW w:type="dxa" w:w="232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Não trata</w:t>
            </w:r>
          </w:p>
        </w:tc>
      </w:tr>
      <w:tr>
        <w:tc>
          <w:tcPr>
            <w:tcW w:type="dxa" w:w="170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Ao falhar</w:t>
            </w:r>
          </w:p>
        </w:tc>
        <w:tc>
          <w:tcPr>
            <w:tcW w:type="dxa" w:w="260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Escada de quatro degraus, com replanejamento</w:t>
            </w:r>
          </w:p>
        </w:tc>
        <w:tc>
          <w:tcPr>
            <w:tcW w:type="dxa" w:w="243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humano decide</w:t>
            </w:r>
          </w:p>
        </w:tc>
        <w:tc>
          <w:tcPr>
            <w:tcW w:type="dxa" w:w="232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Novo ciclo de diálogo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Artefatos não-software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Trilha própria, com escada de prova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Não trata</w:t>
            </w:r>
          </w:p>
        </w:tc>
        <w:tc>
          <w:tcPr>
            <w:tcW w:type="dxa" w:w="232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Não trata</w:t>
            </w:r>
          </w:p>
        </w:tc>
      </w:tr>
      <w:tr>
        <w:tc>
          <w:tcPr>
            <w:tcW w:type="dxa" w:w="170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Base do desenho</w:t>
            </w:r>
          </w:p>
        </w:tc>
        <w:tc>
          <w:tcPr>
            <w:tcW w:type="dxa" w:w="260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Telemetria própria: 139 execuções medidas</w:t>
            </w:r>
          </w:p>
        </w:tc>
        <w:tc>
          <w:tcPr>
            <w:tcW w:type="dxa" w:w="243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Experiência do autor</w:t>
            </w:r>
          </w:p>
        </w:tc>
        <w:tc>
          <w:tcPr>
            <w:tcW w:type="dxa" w:w="232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Conjuntos de referência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5.  Evidência documental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O repositório é público e a verificação é direta. Entre 18 de julho e 28 de agosto de 2026 acumulou 205 commits, e os conceitos aparecem </w:t>
      </w:r>
      <w:r>
        <w:rPr>
          <w:b/>
          <w:i w:val="0"/>
          <w:sz w:val="20"/>
        </w:rPr>
        <w:t>em sequência, depois dos incidentes que os motivaram</w:t>
      </w:r>
      <w:r>
        <w:rPr>
          <w:b w:val="0"/>
          <w:i w:val="0"/>
          <w:sz w:val="20"/>
        </w:rPr>
        <w:t>, não prontos no primeiro dia. Um projeto transcrito chega inteiro; este chegou por acúmulo.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Commit</w:t>
            </w:r>
          </w:p>
        </w:tc>
        <w:tc>
          <w:tcPr>
            <w:tcW w:type="dxa" w:w="90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691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O que registra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8215dbf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I1 — MAPA.md, índice denso do projeto no lugar da varredura de arquivos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9d43b61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doutrina de custo de contexto: o modelo, a medição e as cinco intervenções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2255150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trilha genérica — a fábrica deixa de ser só de software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f5b8fd4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limiar medido de tamanho de tarefa, no planejador e antes do despacho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1a41ca8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montador de contexto, máquina do pipeline e teto de custo com parada limpa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4c559ef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I2 (prefixo cacheável) e I5 (critérios executáveis)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91559b8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I3 — o laço de orquestração vira código testado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8017c41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pipeline decide sozinho — sem portão de julgamento humano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cdedec2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saneamento passa a olhar a árvore git (defeito achado em rodada real)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9a1c186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14/08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verificador passa a declarar o grau de prova, nas duas trilhas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eb9e51f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16/08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prova que a equipe especializada chega ao modelo, e corrige a doutrina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e8974c5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21/08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portão do meio avaliado e fechado — 0 s de fila em 43 rodadas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A1A1A"/>
          <w:sz w:val="21"/>
        </w:rPr>
        <w:t>Medições que contrariaram a própria hipótese</w:t>
      </w:r>
    </w:p>
    <w:p>
      <w:pPr>
        <w:spacing w:after="120"/>
        <w:jc w:val="both"/>
      </w:pPr>
      <w:r>
        <w:rPr>
          <w:b w:val="0"/>
          <w:i w:val="0"/>
          <w:sz w:val="20"/>
        </w:rPr>
        <w:t>O sinal de que o método é honesto não é a medição que confirma o que já se supunha, e sim a que obriga a mudar de rumo. Quatro casos, todos registrados em commit:</w:t>
      </w:r>
    </w:p>
    <w:p>
      <w:pPr>
        <w:pStyle w:val="ListBullet"/>
        <w:spacing w:after="60"/>
        <w:ind w:left="397"/>
      </w:pPr>
      <w:r>
        <w:rPr>
          <w:b/>
          <w:sz w:val="20"/>
        </w:rPr>
        <w:t>174f0a0 (31/07) — previsões escritas antes da rodada</w:t>
      </w:r>
      <w:r>
        <w:rPr>
          <w:b w:val="0"/>
          <w:sz w:val="20"/>
        </w:rPr>
        <w:t>, para poder confrontá-las com o resultado depois.</w:t>
      </w:r>
    </w:p>
    <w:p>
      <w:pPr>
        <w:pStyle w:val="ListBullet"/>
        <w:spacing w:after="60"/>
        <w:ind w:left="397"/>
      </w:pPr>
      <w:r>
        <w:rPr>
          <w:b/>
          <w:sz w:val="20"/>
        </w:rPr>
        <w:t>696762e (31/07) — “/status remedido (n=3): o ganho de 12% era ruído”</w:t>
      </w:r>
      <w:r>
        <w:rPr>
          <w:b w:val="0"/>
          <w:sz w:val="20"/>
        </w:rPr>
        <w:t>. Um resultado anunciado foi refutado por nova medição, e retirado.</w:t>
      </w:r>
    </w:p>
    <w:p>
      <w:pPr>
        <w:pStyle w:val="ListBullet"/>
        <w:spacing w:after="60"/>
        <w:ind w:left="397"/>
      </w:pPr>
      <w:r>
        <w:rPr>
          <w:b/>
          <w:sz w:val="20"/>
        </w:rPr>
        <w:t>dea9e9c (31/07) — a contagem de saída estava cem vezes subestimada</w:t>
      </w:r>
      <w:r>
        <w:rPr>
          <w:b w:val="0"/>
          <w:sz w:val="20"/>
        </w:rPr>
        <w:t>. O instrumento estava errado, e foi corrigido antes de qualquer conclusão.</w:t>
      </w:r>
    </w:p>
    <w:p>
      <w:pPr>
        <w:pStyle w:val="ListBullet"/>
        <w:spacing w:after="60"/>
        <w:ind w:left="397"/>
      </w:pPr>
      <w:r>
        <w:rPr>
          <w:b/>
          <w:sz w:val="20"/>
        </w:rPr>
        <w:t>e8974c5 (21/08) — hipótese avaliada e descartada por medição</w:t>
      </w:r>
      <w:r>
        <w:rPr>
          <w:b w:val="0"/>
          <w:sz w:val="20"/>
        </w:rPr>
        <w:t>: supunha-se que o portão de verificação seria o gargalo do sistema; medido sobre quarenta e três rodadas, houve zero segundo de espera. A otimização já desenhada foi abandonada por evidência.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Operação real</w:t>
      </w:r>
    </w:p>
    <w:p>
      <w:pPr>
        <w:spacing w:after="120"/>
        <w:jc w:val="both"/>
      </w:pPr>
      <w:r>
        <w:rPr>
          <w:b w:val="0"/>
          <w:i w:val="0"/>
          <w:sz w:val="20"/>
        </w:rPr>
        <w:t>A primeira versão entregou 86 tarefas concluídas de 89, em três projetos de domínios distintos: um jogo de tabuleiro em versão web, multijogador em tempo real (69 de 72 tarefas); um serviço permanente embarcado no computador de placa única que controla uma impressora 3D (11 de 11); e uma plataforma de dados com camada de análise por modelos de linguagem (6 de 6). São 139 execuções gravadas, com tokens, custo, modelo e desfecho, preservadas no repositório.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6.  Conclusão e encaminhamento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Não é plágio, e a evidência documental sustenta isso. Mas o trabalho não é inédito no gênero, e não deve se apresentar como se fosse. </w:t>
      </w:r>
      <w:r>
        <w:rPr>
          <w:b/>
          <w:i w:val="0"/>
          <w:sz w:val="20"/>
        </w:rPr>
        <w:t>Plágio é sobre atribuição, não sobre ineditismo.</w:t>
      </w:r>
    </w:p>
    <w:p>
      <w:pPr>
        <w:spacing w:after="120"/>
        <w:jc w:val="both"/>
      </w:pPr>
      <w:r>
        <w:rPr>
          <w:b w:val="0"/>
          <w:i w:val="0"/>
          <w:sz w:val="20"/>
        </w:rPr>
        <w:t>Três encaminhamentos:</w:t>
      </w:r>
    </w:p>
    <w:p>
      <w:pPr>
        <w:pStyle w:val="ListBullet"/>
        <w:spacing w:after="60"/>
        <w:ind w:left="397"/>
      </w:pPr>
      <w:r>
        <w:rPr>
          <w:b/>
          <w:sz w:val="20"/>
        </w:rPr>
        <w:t>Escrever a seção de trabalhos relacionados e citar antes de ser perguntado</w:t>
      </w:r>
      <w:r>
        <w:rPr>
          <w:b w:val="0"/>
          <w:sz w:val="20"/>
        </w:rPr>
        <w:t>: ChatDev e MetaGPT pelos papéis; softwarefabrik.io e Factory.ai pela fábrica agêntica comercial; Cortex, Sagents, SwarmEx e Synapse pelo agente como processo supervisionado; Cusumano pelo termo.</w:t>
      </w:r>
    </w:p>
    <w:p>
      <w:pPr>
        <w:pStyle w:val="ListBullet"/>
        <w:spacing w:after="60"/>
        <w:ind w:left="397"/>
      </w:pPr>
      <w:r>
        <w:rPr>
          <w:b/>
          <w:sz w:val="20"/>
        </w:rPr>
        <w:t>Reduzir a afirmação de contribuição ao escopo real</w:t>
      </w:r>
      <w:r>
        <w:rPr>
          <w:b w:val="0"/>
          <w:sz w:val="20"/>
        </w:rPr>
        <w:t>. Não “construí uma fábrica de software multi-agente” — isso existe. É “operei uma por seis semanas em três projetos reais, medi onde ela falha e quanto custa, e reprojetei a partir dessa medição”.</w:t>
      </w:r>
    </w:p>
    <w:p>
      <w:pPr>
        <w:pStyle w:val="ListBullet"/>
        <w:spacing w:after="60"/>
        <w:ind w:left="397"/>
      </w:pPr>
      <w:r>
        <w:rPr>
          <w:b/>
          <w:sz w:val="20"/>
        </w:rPr>
        <w:t>Comparar explicitamente com o vizinho mais próximo</w:t>
      </w:r>
      <w:r>
        <w:rPr>
          <w:b w:val="0"/>
          <w:sz w:val="20"/>
        </w:rPr>
        <w:t>. Demonstrar que se conhece o projeto mais parecido e que se escolheu diferente, com motivo, é a defesa mais sólida disponível.</w:t>
      </w:r>
    </w:p>
    <w:p>
      <w:pPr>
        <w:spacing w:after="200"/>
        <w:jc w:val="both"/>
      </w:pPr>
      <w:r>
        <w:rPr>
          <w:b w:val="0"/>
          <w:i w:val="0"/>
          <w:sz w:val="20"/>
        </w:rPr>
        <w:t>Um trabalho que declara isso com precisão é mais forte do que um que reivindica ineditismo total.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Fontes consultadas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softwarefabrik.io — Agentic Software Factory (Martin Janda), v0.30.0, 2026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arXiv:2307.07924 — ChatDev: Communicative Agents for Software Development, 2023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factory.ai — Factory 2.0: from coding agents to software factories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github.com/itsHabib/cortex — orquestração multi-agente em Elixir/OTP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github.com/sagents-ai/sagents — agentes com supervisão OTP e painel ao vivo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CUSUMANO, M. Japan's Software Factories. Oxford University Press, 1991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