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17"/>
        </w:rPr>
        <w:t>FÁBRICA DE SOFTWARE MULTI-AGENTE · TCC · ENZO CONSULO</w:t>
      </w:r>
    </w:p>
    <w:p>
      <w:pPr>
        <w:pStyle w:val="Title"/>
      </w:pPr>
      <w:r>
        <w:rPr>
          <w:color w:val="222222"/>
        </w:rPr>
        <w:t>E6 — Memória do projeto</w:t>
      </w:r>
    </w:p>
    <w:p>
      <w:r>
        <w:rPr>
          <w:color w:val="555555"/>
        </w:rPr>
        <w:t>Período planejado: 18/11 – 02/12/2026   ·   Branch: etapa/e6-memoria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87"/>
        <w:gridCol w:w="2268"/>
      </w:tblGrid>
      <w:tr>
        <w:tc>
          <w:tcPr>
            <w:tcW w:type="dxa" w:w="7087"/>
          </w:tcPr>
          <w:p>
            <w:r>
              <w:rPr>
                <w:b/>
                <w:sz w:val="19"/>
              </w:rPr>
              <w:t>Entrega combinada no plano</w:t>
            </w:r>
          </w:p>
        </w:tc>
        <w:tc>
          <w:tcPr>
            <w:tcW w:type="dxa" w:w="2268"/>
          </w:tcPr>
          <w:p>
            <w:r>
              <w:rPr>
                <w:b/>
                <w:sz w:val="19"/>
              </w:rPr>
              <w:t>Situação</w:t>
            </w:r>
          </w:p>
        </w:tc>
      </w:tr>
      <w:tr>
        <w:tc>
          <w:tcPr>
            <w:tcW w:type="dxa" w:w="7087"/>
          </w:tcPr>
          <w:p>
            <w:r>
              <w:rPr>
                <w:sz w:val="19"/>
              </w:rPr>
              <w:t>O agente cita a decisão anterior, com a fonte certa, em vez de decidir de novo.</w:t>
            </w:r>
          </w:p>
        </w:tc>
        <w:tc>
          <w:tcPr>
            <w:tcW w:type="dxa" w:w="2268"/>
            <w:shd w:val="clear" w:color="auto" w:fill="FBF0DC"/>
          </w:tcPr>
          <w:p>
            <w:r>
              <w:rPr>
                <w:sz w:val="19"/>
              </w:rPr>
              <w:t>Entrega pendente</w:t>
            </w:r>
          </w:p>
        </w:tc>
      </w:tr>
    </w:tbl>
    <w:p/>
    <w:p>
      <w:r>
        <w:rPr>
          <w:b/>
        </w:rPr>
        <w:t xml:space="preserve">Em uma frase: </w:t>
      </w:r>
      <w:r>
        <w:t>As peças da memória estão construídas e testadas; a entrega da etapa (o agente citar a decisão anterior) ainda não foi demonstrada.</w:t>
      </w:r>
    </w:p>
    <w:p>
      <w:pPr>
        <w:pStyle w:val="Heading1"/>
      </w:pPr>
      <w:r>
        <w:rPr>
          <w:color w:val="2A78D6"/>
        </w:rPr>
        <w:t>O que foi feito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907"/>
        <w:gridCol w:w="5783"/>
        <w:gridCol w:w="1474"/>
      </w:tblGrid>
      <w:tr>
        <w:tc>
          <w:tcPr>
            <w:tcW w:type="dxa" w:w="1247"/>
          </w:tcPr>
          <w:p>
            <w:r>
              <w:rPr>
                <w:b/>
                <w:sz w:val="19"/>
              </w:rPr>
              <w:t>Tarefa</w:t>
            </w:r>
          </w:p>
        </w:tc>
        <w:tc>
          <w:tcPr>
            <w:tcW w:type="dxa" w:w="907"/>
          </w:tcPr>
          <w:p>
            <w:r>
              <w:rPr>
                <w:b/>
                <w:sz w:val="19"/>
              </w:rPr>
              <w:t>Pacote</w:t>
            </w:r>
          </w:p>
        </w:tc>
        <w:tc>
          <w:tcPr>
            <w:tcW w:type="dxa" w:w="5783"/>
          </w:tcPr>
          <w:p>
            <w:r>
              <w:rPr>
                <w:b/>
                <w:sz w:val="19"/>
              </w:rPr>
              <w:t>Descrição</w:t>
            </w:r>
          </w:p>
        </w:tc>
        <w:tc>
          <w:tcPr>
            <w:tcW w:type="dxa" w:w="1474"/>
          </w:tcPr>
          <w:p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FAB-601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6.1</w:t>
            </w:r>
          </w:p>
        </w:tc>
        <w:tc>
          <w:tcPr>
            <w:tcW w:type="dxa" w:w="5783"/>
          </w:tcPr>
          <w:p>
            <w:r>
              <w:rPr>
                <w:sz w:val="19"/>
              </w:rPr>
              <w:t>Medir antes de escolher onde a busca roda</w:t>
            </w:r>
          </w:p>
        </w:tc>
        <w:tc>
          <w:tcPr>
            <w:tcW w:type="dxa" w:w="1474"/>
            <w:shd w:val="clear" w:color="auto" w:fill="E3F3E8"/>
          </w:tcPr>
          <w:p>
            <w:r>
              <w:rPr>
                <w:sz w:val="19"/>
              </w:rPr>
              <w:t>Concluída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FAB-602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6.2</w:t>
            </w:r>
          </w:p>
        </w:tc>
        <w:tc>
          <w:tcPr>
            <w:tcW w:type="dxa" w:w="5783"/>
          </w:tcPr>
          <w:p>
            <w:r>
              <w:rPr>
                <w:sz w:val="19"/>
              </w:rPr>
              <w:t>Guardar o histórico a cada alteração</w:t>
            </w:r>
          </w:p>
        </w:tc>
        <w:tc>
          <w:tcPr>
            <w:tcW w:type="dxa" w:w="1474"/>
            <w:shd w:val="clear" w:color="auto" w:fill="E3F3E8"/>
          </w:tcPr>
          <w:p>
            <w:r>
              <w:rPr>
                <w:sz w:val="19"/>
              </w:rPr>
              <w:t>Concluída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FAB-603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6.3</w:t>
            </w:r>
          </w:p>
        </w:tc>
        <w:tc>
          <w:tcPr>
            <w:tcW w:type="dxa" w:w="5783"/>
          </w:tcPr>
          <w:p>
            <w:r>
              <w:rPr>
                <w:sz w:val="19"/>
              </w:rPr>
              <w:t>Busca por significado e por termo exato</w:t>
            </w:r>
          </w:p>
        </w:tc>
        <w:tc>
          <w:tcPr>
            <w:tcW w:type="dxa" w:w="1474"/>
            <w:shd w:val="clear" w:color="auto" w:fill="E3F3E8"/>
          </w:tcPr>
          <w:p>
            <w:r>
              <w:rPr>
                <w:sz w:val="19"/>
              </w:rPr>
              <w:t>Concluída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FAB-604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6.4</w:t>
            </w:r>
          </w:p>
        </w:tc>
        <w:tc>
          <w:tcPr>
            <w:tcW w:type="dxa" w:w="5783"/>
          </w:tcPr>
          <w:p>
            <w:r>
              <w:rPr>
                <w:sz w:val="19"/>
              </w:rPr>
              <w:t>Entregar o contexto com a fonte citada</w:t>
            </w:r>
          </w:p>
        </w:tc>
        <w:tc>
          <w:tcPr>
            <w:tcW w:type="dxa" w:w="1474"/>
            <w:shd w:val="clear" w:color="auto" w:fill="E3F3E8"/>
          </w:tcPr>
          <w:p>
            <w:r>
              <w:rPr>
                <w:sz w:val="19"/>
              </w:rPr>
              <w:t>Concluída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FAB-605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6.5</w:t>
            </w:r>
          </w:p>
        </w:tc>
        <w:tc>
          <w:tcPr>
            <w:tcW w:type="dxa" w:w="5783"/>
          </w:tcPr>
          <w:p>
            <w:r>
              <w:rPr>
                <w:sz w:val="19"/>
              </w:rPr>
              <w:t>Avaliar a qualidade da busca</w:t>
            </w:r>
          </w:p>
        </w:tc>
        <w:tc>
          <w:tcPr>
            <w:tcW w:type="dxa" w:w="1474"/>
            <w:shd w:val="clear" w:color="auto" w:fill="E3F3E8"/>
          </w:tcPr>
          <w:p>
            <w:r>
              <w:rPr>
                <w:sz w:val="19"/>
              </w:rPr>
              <w:t>Concluída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FAB-606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Marco</w:t>
            </w:r>
          </w:p>
        </w:tc>
        <w:tc>
          <w:tcPr>
            <w:tcW w:type="dxa" w:w="5783"/>
          </w:tcPr>
          <w:p>
            <w:r>
              <w:rPr>
                <w:sz w:val="19"/>
              </w:rPr>
              <w:t>MARCO E6 — o agente cita a decisão anterior</w:t>
            </w:r>
          </w:p>
        </w:tc>
        <w:tc>
          <w:tcPr>
            <w:tcW w:type="dxa" w:w="1474"/>
            <w:shd w:val="clear" w:color="auto" w:fill="F9E3E3"/>
          </w:tcPr>
          <w:p>
            <w:r>
              <w:rPr>
                <w:sz w:val="19"/>
              </w:rPr>
              <w:t>Bloqueada</w:t>
            </w:r>
          </w:p>
        </w:tc>
      </w:tr>
    </w:tbl>
    <w:p>
      <w:pPr>
        <w:pStyle w:val="Heading1"/>
      </w:pPr>
      <w:r>
        <w:rPr>
          <w:color w:val="2A78D6"/>
        </w:rPr>
        <w:t>Como foi feito</w:t>
      </w:r>
    </w:p>
    <w:p>
      <w:pPr>
        <w:pStyle w:val="ListBullet"/>
      </w:pPr>
      <w:r>
        <w:t>Medição antes da escolha: o modelo de embedding local escolhido por desempenho medido (R9).</w:t>
      </w:r>
    </w:p>
    <w:p>
      <w:pPr>
        <w:pStyle w:val="ListBullet"/>
      </w:pPr>
      <w:r>
        <w:t>Cada commit do projeto vira trechos com embedding, sem duplicar em reingestão.</w:t>
      </w:r>
    </w:p>
    <w:p>
      <w:pPr>
        <w:pStyle w:val="ListBullet"/>
      </w:pPr>
      <w:r>
        <w:t>Busca híbrida (significado + termo exato) com fusão de postos, filtrada por projeto.</w:t>
      </w:r>
    </w:p>
    <w:p>
      <w:pPr>
        <w:pStyle w:val="ListBullet"/>
      </w:pPr>
      <w:r>
        <w:t>Bloco de contexto com a fonte de cada trecho, fora da faixa cacheada do prompt (R7).</w:t>
      </w:r>
    </w:p>
    <w:p>
      <w:pPr>
        <w:pStyle w:val="ListBullet"/>
      </w:pPr>
      <w:r>
        <w:t>Avaliação com recall@8, recall@1 e MRR; busca abaixo da linha de base desliga o bloco.</w:t>
      </w:r>
    </w:p>
    <w:p>
      <w:pPr>
        <w:pStyle w:val="Heading1"/>
      </w:pPr>
      <w:r>
        <w:rPr>
          <w:color w:val="2A78D6"/>
        </w:rPr>
        <w:t>Como se prova</w:t>
      </w:r>
    </w:p>
    <w:p>
      <w:r>
        <w:rPr>
          <w:rFonts w:ascii="Consolas" w:hAnsi="Consolas"/>
          <w:sz w:val="19"/>
        </w:rPr>
        <w:t>mix test test/factory/memory/ — busca, contexto, ingestão e avaliação.</w:t>
      </w:r>
    </w:p>
    <w:p>
      <w:pPr>
        <w:pStyle w:val="Heading1"/>
      </w:pPr>
      <w:r>
        <w:rPr>
          <w:color w:val="2A78D6"/>
        </w:rPr>
        <w:t>Números da etapa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685"/>
      </w:tblGrid>
      <w:tr>
        <w:tc>
          <w:tcPr>
            <w:tcW w:type="dxa" w:w="5669"/>
          </w:tcPr>
          <w:p>
            <w:r>
              <w:rPr>
                <w:b/>
                <w:sz w:val="19"/>
              </w:rPr>
              <w:t>Indicador</w:t>
            </w:r>
          </w:p>
        </w:tc>
        <w:tc>
          <w:tcPr>
            <w:tcW w:type="dxa" w:w="3685"/>
          </w:tcPr>
          <w:p>
            <w:r>
              <w:rPr>
                <w:b/>
                <w:sz w:val="19"/>
              </w:rPr>
              <w:t>Valor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Tarefas concluídas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5 de 6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Commits na branch da etapa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9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Módulos Elixir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92 (+9)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Linhas de código (lib/)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11.468 (+986)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Testes automáticos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1080 (+85)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Execuções de agente por item de trabalho (média)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1,62  (critério: ≤ 2)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Custo medido dos agentes (dólar-equivalente da cota)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US$ 167,15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60000" cy="19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-e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7"/>
        </w:rPr>
        <w:t>Crescimento do sistema até esta etapa (em destaque).</w:t>
      </w:r>
    </w:p>
    <w:p>
      <w:pPr>
        <w:pStyle w:val="Heading1"/>
      </w:pPr>
      <w:r>
        <w:rPr>
          <w:color w:val="2A78D6"/>
        </w:rPr>
        <w:t>Requisitos desta etapa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8334"/>
      </w:tblGrid>
      <w:tr>
        <w:tc>
          <w:tcPr>
            <w:tcW w:type="dxa" w:w="1020"/>
          </w:tcPr>
          <w:p>
            <w:r>
              <w:rPr>
                <w:b/>
                <w:sz w:val="19"/>
              </w:rPr>
              <w:t>Req.</w:t>
            </w:r>
          </w:p>
        </w:tc>
        <w:tc>
          <w:tcPr>
            <w:tcW w:type="dxa" w:w="8334"/>
          </w:tcPr>
          <w:p>
            <w:r>
              <w:rPr>
                <w:b/>
                <w:sz w:val="19"/>
              </w:rPr>
              <w:t>Requisito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R7</w:t>
            </w:r>
          </w:p>
        </w:tc>
        <w:tc>
          <w:tcPr>
            <w:tcW w:type="dxa" w:w="8334"/>
          </w:tcPr>
          <w:p>
            <w:r>
              <w:rPr>
                <w:sz w:val="19"/>
              </w:rPr>
              <w:t>Histórico consultado, com fonte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R9</w:t>
            </w:r>
          </w:p>
        </w:tc>
        <w:tc>
          <w:tcPr>
            <w:tcW w:type="dxa" w:w="8334"/>
          </w:tcPr>
          <w:p>
            <w:r>
              <w:rPr>
                <w:sz w:val="19"/>
              </w:rPr>
              <w:t>Cabe em 8 GB / 4 núcleos</w:t>
            </w:r>
          </w:p>
        </w:tc>
      </w:tr>
    </w:tbl>
    <w:p>
      <w:pPr>
        <w:pStyle w:val="Heading1"/>
      </w:pPr>
      <w:r>
        <w:rPr>
          <w:color w:val="2A78D6"/>
        </w:rPr>
        <w:t>Pendências e próxima etapa</w:t>
      </w:r>
    </w:p>
    <w:p>
      <w:pPr>
        <w:pStyle w:val="ListBullet"/>
      </w:pPr>
      <w:r>
        <w:t>Marco bloqueado: a fila ainda monta a mensagem do agente sem o bloco de memória (ajuste pequeno, já diagnosticado).</w:t>
      </w:r>
    </w:p>
    <w:p>
      <w:r>
        <w:rPr>
          <w:b/>
        </w:rPr>
        <w:t xml:space="preserve">Próxima etapa: </w:t>
      </w:r>
      <w:r>
        <w:t>Fechar o ajuste da fila e demonstrar o agente real citando a decisão anterior.</w:t>
      </w:r>
    </w:p>
    <w:p>
      <w:pPr>
        <w:pStyle w:val="Heading2"/>
      </w:pPr>
      <w:r>
        <w:rPr>
          <w:color w:val="222222"/>
        </w:rPr>
        <w:t>Commits da etapa</w:t>
      </w:r>
    </w:p>
    <w:p>
      <w:pPr>
        <w:pStyle w:val="ListBullet"/>
      </w:pPr>
      <w:r>
        <w:rPr>
          <w:sz w:val="18"/>
        </w:rPr>
        <w:t>feat(embedder): add the Ollama, service and local embedding adapters (FAB-601)</w:t>
      </w:r>
    </w:p>
    <w:p>
      <w:pPr>
        <w:pStyle w:val="ListBullet"/>
      </w:pPr>
      <w:r>
        <w:rPr>
          <w:sz w:val="18"/>
        </w:rPr>
        <w:t>feat(memory): add the chunks table with its dimension checked against the embedder (FAB-601)</w:t>
      </w:r>
    </w:p>
    <w:p>
      <w:pPr>
        <w:pStyle w:val="ListBullet"/>
      </w:pPr>
      <w:r>
        <w:rPr>
          <w:sz w:val="18"/>
        </w:rPr>
        <w:t>feat(memory): ingest project history by section with incremental hashing (FAB-602)</w:t>
      </w:r>
    </w:p>
    <w:p>
      <w:pPr>
        <w:pStyle w:val="ListBullet"/>
      </w:pPr>
      <w:r>
        <w:rPr>
          <w:sz w:val="18"/>
        </w:rPr>
        <w:t>feat(memory): add hybrid search with rank fusion filtered by project first (FAB-603)</w:t>
      </w:r>
    </w:p>
    <w:p>
      <w:pPr>
        <w:pStyle w:val="ListBullet"/>
      </w:pPr>
      <w:r>
        <w:rPr>
          <w:sz w:val="18"/>
        </w:rPr>
        <w:t>feat(memory): build the context block citing each source after the cached prefix (FAB-604)</w:t>
      </w:r>
    </w:p>
    <w:p>
      <w:pPr>
        <w:pStyle w:val="ListBullet"/>
      </w:pPr>
      <w:r>
        <w:rPr>
          <w:sz w:val="18"/>
        </w:rPr>
        <w:t>feat(memory): evaluate search with recall and MRR and switch the block off below baseline (FAB-605)</w:t>
      </w:r>
    </w:p>
    <w:p>
      <w:pPr>
        <w:pStyle w:val="ListBullet"/>
      </w:pPr>
      <w:r>
        <w:rPr>
          <w:sz w:val="18"/>
        </w:rPr>
        <w:t>docs(memory): record the measured numbers behind the hybrid default (FAB-605)</w:t>
      </w:r>
    </w:p>
    <w:p>
      <w:pPr>
        <w:pStyle w:val="ListBullet"/>
      </w:pPr>
      <w:r>
        <w:rPr>
          <w:sz w:val="18"/>
        </w:rPr>
        <w:t>docs: describe the memory stack and its proof in the README (FAB-605)</w:t>
      </w:r>
    </w:p>
    <w:p>
      <w:pPr>
        <w:pStyle w:val="ListBullet"/>
      </w:pPr>
      <w:r>
        <w:rPr>
          <w:sz w:val="18"/>
        </w:rPr>
        <w:t>docs: update task board for E6 (FAB-601..FAB-606)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