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Clarevo</w:t>
        <w:br/>
        <w:t>Pesquisa de mercado e direção visual</w:t>
      </w:r>
    </w:p>
    <w:p>
      <w:pPr>
        <w:pStyle w:val="Subtitle"/>
      </w:pPr>
      <w:r>
        <w:t>Para Enzo e a implementação no Claude</w:t>
        <w:br/>
        <w:t>Pesquisa consultada em 07 de outubro de 2026</w:t>
        <w:br/>
        <w:t>Propostas de identidade e experiência para avaliação</w:t>
      </w:r>
    </w:p>
    <w:p>
      <w:r>
        <w:t>Recomendo uma identidade com azul vivo, lima e texto escuro, apoiada em uma interface que explique os números e deixe visível o contexto pessoal ou familiar. O foco continua nas pessoas. A empresa oferece o acesso como benefício e administra licenças, com autorização separada dos dados financeiros.</w:t>
      </w:r>
    </w:p>
    <w:p>
      <w:r>
        <w:rPr>
          <w:sz w:val="20"/>
        </w:rPr>
        <w:t>Enzo respondeu “perfeito, gostei” à proposta em 07/10/2026. Ela será a referência inicial para refinar a identidade e as aplicações, sem tratar o conceito como desenho final de produção.</w:t>
      </w:r>
    </w:p>
    <w:p>
      <w:pPr>
        <w:pStyle w:val="Heading2"/>
      </w:pPr>
      <w:r>
        <w:t>O que esta pesquisa encontrou</w:t>
      </w:r>
    </w:p>
    <w:p>
      <w:r>
        <w:t>As ofertas analisadas combinam contas, cartões, orçamento, metas e automação em diferentes níveis. YNAB, Onze, Cuide da Grana e NUMA também anunciam soluções oferecidas por empregadores. Há concorrência no próprio recorte do Clarevo; organização financeira com educação e patrocínio empresarial não é uma categoria inédita. [1–4, 8, 11–13]</w:t>
      </w:r>
    </w:p>
    <w:p>
      <w:r>
        <w:t>Oportunidade proposta: uma experiência brasileira que ajude a compreender o mês, organize a colaboração familiar com escolha explícita e preserve a conta pessoal ao trocar de empregador. Essa é uma hipótese de posicionamento, ainda sem validação de demanda ou disposição a pagar.</w:t>
      </w:r>
    </w:p>
    <w:p>
      <w:pPr>
        <w:pStyle w:val="Heading2"/>
      </w:pPr>
      <w:r>
        <w:t>Três exigências com o mesmo peso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Dimensão</w:t>
            </w:r>
          </w:p>
        </w:tc>
        <w:tc>
          <w:tcPr>
            <w:tcW w:type="dxa" w:w="8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0"/>
              </w:rPr>
              <w:t>O que precisa ser verificável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Beleza visual</w:t>
            </w:r>
          </w:p>
        </w:tc>
        <w:tc>
          <w:tcPr>
            <w:tcW w:type="dxa" w:w="8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Identidade reconhecível, cores com presença, tipografia e composição cuidadosas.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Fluidez de uso</w:t>
            </w:r>
          </w:p>
        </w:tc>
        <w:tc>
          <w:tcPr>
            <w:tcW w:type="dxa" w:w="8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Ações compreensíveis, resposta visível, preenchimento preservado e transições curtas.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Informação útil</w:t>
            </w:r>
          </w:p>
        </w:tc>
        <w:tc>
          <w:tcPr>
            <w:tcW w:type="dxa" w:w="820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0"/>
              </w:rPr>
              <w:t>Período e critério explícitos, totais rastreáveis e distinção entre realizado e previsto.</w:t>
            </w:r>
          </w:p>
        </w:tc>
      </w:tr>
    </w:tbl>
    <w:p>
      <w:pPr>
        <w:spacing w:after="20"/>
      </w:pPr>
    </w:p>
    <w:p>
      <w:pPr>
        <w:pStyle w:val="Heading2"/>
      </w:pPr>
      <w:r>
        <w:t>Alcance da pesquisa</w:t>
      </w:r>
    </w:p>
    <w:p>
      <w:r>
        <w:t>Benchmark qualitativo de nove ofertas e uma referência adicional de marca. Fontes primárias: sites oficiais, ajuda, políticas e publicações dos fornecedores. A análise visual usa materiais públicos; não houve teste dos aplicativos autenticados, auditoria de segurança, medição de velocidade ou pesquisa representativa de usuários. Alegações comerciais permanecem atribuídas aos fornecedores.</w:t>
      </w:r>
    </w:p>
    <w:p>
      <w:pPr>
        <w:pStyle w:val="Heading1"/>
        <w:pageBreakBefore/>
      </w:pPr>
      <w:r>
        <w:t>1 Serviços encontrados no mercado</w:t>
      </w:r>
    </w:p>
    <w:p>
      <w:r>
        <w:t>A comparação registra serviços anunciados e limites documentados. Não representa participação de mercado, ranking de qualidade ou equivalência de todos os planos.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32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Oferta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Serviços documentados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Referência para o Clarevo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Organizze [1]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Contas e cartões, limites, alertas, relatórios, Open Finance e recursos de IA.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Núcleo manual útil e integrações como etapas adicionais.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Mobills [2]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Contas e cartões, orçamento mensal, metas, alertas e conteúdo educativo.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Organização e educação podem participar da mesma experiência.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YNAB [3–5]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Planejamento, método educativo, assinatura compartilhada e benefício empresarial.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Conta pessoal pode receber patrocínio sem reiniciar o histórico.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Monarch [6–7]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Visão doméstica conjunta, orçamento, metas e visualizações personalizadas.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Personalizar uma visualização não significa impedir acesso aos dados.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Wallet [8–9]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Registros, orçamento, pagamentos previstos, importação e grupo com permissões.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Papéis e paridade entre plataformas precisam ser explícitos.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Spendee [10]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Carteiras manuais compartilhadas com edição colaborativa.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Carteira, orçamento e conta bancária têm limites diferentes de compartilhamento.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Onze [11]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Checkups, cursos, palestras e consultoria individual em saúde financeira.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Serviço humano pode ampliar a proposta além da interface do app.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Cuide da Grana [12]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App e WhatsApp, contas, cartões, metas e portal de licenças para empresas.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 recorte brasileiro de app como benefício já tem ofertas diretas.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NUMA [13]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Educação financeira como benefício e acompanhamento agregado de adesão.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Explicar a privacidade faz parte da contratação e da adesão.</w:t>
            </w:r>
          </w:p>
        </w:tc>
      </w:tr>
    </w:tbl>
    <w:p>
      <w:pPr>
        <w:spacing w:after="20"/>
      </w:pPr>
    </w:p>
    <w:p>
      <w:pPr>
        <w:pStyle w:val="Heading2"/>
      </w:pPr>
      <w:r>
        <w:t>Prioridades que extraímos da comparação</w:t>
      </w:r>
    </w:p>
    <w:p>
      <w:r>
        <w:t>Primeiro, permitir anotar, corrigir e compreender receitas e despesas. Depois, completar compromissos, cartões, metas e compartilhamento. Integrações bancárias, WhatsApp e captura por IA podem reduzir trabalho, mas exigem revisão de dados, consentimento, custos e suporte próprios. A quantidade de funções não comprova qualidade da experiência.</w:t>
      </w:r>
    </w:p>
    <w:p>
      <w:pPr>
        <w:pStyle w:val="Heading1"/>
        <w:pageBreakBefore/>
      </w:pPr>
      <w:r>
        <w:t>2 Preocupações que o produto deve resolver</w:t>
      </w:r>
    </w:p>
    <w:p>
      <w:pPr>
        <w:pStyle w:val="Heading2"/>
      </w:pPr>
      <w:r>
        <w:t>Imprevistos e compromissos</w:t>
      </w:r>
    </w:p>
    <w:p>
      <w:r>
        <w:t>Uma pesquisa publicada pela Serasa em janeiro de 2025 aponta gastos inesperados e falta de reserva entre preocupações financeiras, além de interesse em planejamento e pagamento de dívidas. Isso orienta os casos de uso; não é uma estimativa atual de todo o público do Clarevo. [15]</w:t>
      </w:r>
    </w:p>
    <w:p>
      <w:r>
        <w:t>O resumo deve responder a perguntas concretas: o que entrou, o que foi pago, o que vence e quais valores estão apenas previstos. Metas podem apoiar uma reserva escolhida pela pessoa, sem impor um valor universal ou transformar dificuldades financeiras em julgamento de disciplina.</w:t>
      </w:r>
    </w:p>
    <w:p>
      <w:pPr>
        <w:pStyle w:val="Heading2"/>
      </w:pPr>
      <w:r>
        <w:t>Trabalho necessário para manter o app</w:t>
      </w:r>
    </w:p>
    <w:p>
      <w:r>
        <w:t>Importação, categorias e canais de captura aparecem nas ofertas analisadas. Nossa leitura é que reduzir o esforço de registro pode ajudar a continuidade do uso. Antes de depender de automação, validar um fluxo manual curto, com edição e conferência dos valores. Um lançamento rápido e incorreto prejudica a confiança.</w:t>
      </w:r>
    </w:p>
    <w:p>
      <w:pPr>
        <w:pStyle w:val="Heading2"/>
      </w:pPr>
      <w:r>
        <w:t>Compreensão dos números</w:t>
      </w:r>
    </w:p>
    <w:p>
      <w:r>
        <w:t>O Banco Central relaciona educação financeira a conhecimentos e comportamentos para decisões informadas. [16] Para o Clarevo, proponho explicações opcionais junto às tarefas: por que pagar a fatura não repete o consumo, como revisar renda variável e o que muda ao registrar um aporte.</w:t>
      </w:r>
    </w:p>
    <w:p>
      <w:r>
        <w:t>Exemplo de apresentação: “Diferença do mês” significa recebimentos menos pagamentos confirmados no período. Não equivale ao saldo bancário, que também depende do saldo inicial e de outras movimentações. O detalhe deve mostrar a composição, com o mesmo critério utilizado no total.</w:t>
      </w:r>
    </w:p>
    <w:p>
      <w:pPr>
        <w:pStyle w:val="Heading2"/>
      </w:pPr>
      <w:r>
        <w:t>Privacidade e controle</w:t>
      </w:r>
    </w:p>
    <w:p>
      <w:r>
        <w:t>Compartilhar despesas familiares e aceitar um benefício empresarial criam dúvidas diferentes. A pessoa precisa saber quem pode ver, editar ou excluir os registros. Convites, troca de contexto e fim do benefício merecem fluxos claros. Nossa proposta mantém anotações pessoais separadas e compartilha somente o contexto autorizado.</w:t>
      </w:r>
    </w:p>
    <w:p>
      <w:pPr>
        <w:pStyle w:val="Heading2"/>
      </w:pPr>
      <w:r>
        <w:t>Conexão bancária futura</w:t>
      </w:r>
    </w:p>
    <w:p>
      <w:r>
        <w:t>Segundo o Banco Central, o compartilhamento pelo Open Finance depende de autorização, que pode ser cancelada. [17–18] Se essa integração entrar no Clarevo, explicar finalidade, escopo e revogação, mostrar a última atualização e permitir revisar possíveis duplicidades. Não apresentar conexão ou sincronização como parte já implementada.</w:t>
      </w:r>
    </w:p>
    <w:p>
      <w:pPr>
        <w:pStyle w:val="Heading1"/>
        <w:pageBreakBefore/>
      </w:pPr>
      <w:r>
        <w:t>3 Pessoas famílias e benefício empresarial</w:t>
      </w:r>
    </w:p>
    <w:p>
      <w:r>
        <w:t>Os documentos de ajuda mostram que “compartilhado” não descreve um único modelo. Essas diferenças são importantes para desenhar os convites e as permissões.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Produto</w:t>
            </w:r>
          </w:p>
        </w:tc>
        <w:tc>
          <w:tcPr>
            <w:tcW w:type="dxa" w:w="84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Limite documentado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Monarch [6]</w:t>
            </w:r>
          </w:p>
        </w:tc>
        <w:tc>
          <w:tcPr>
            <w:tcW w:type="dxa" w:w="84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Não permite ocultar contas ou transações dos membros da família. Visualizações personalizadas filtram a apresentação.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Wallet [9]</w:t>
            </w:r>
          </w:p>
        </w:tc>
        <w:tc>
          <w:tcPr>
            <w:tcW w:type="dxa" w:w="84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Permissões por conta incluem administração, acompanhamento, leitura e ausência de acesso. O guia informa que grupos não estão disponíveis na versão web.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Spendee [10]</w:t>
            </w:r>
          </w:p>
        </w:tc>
        <w:tc>
          <w:tcPr>
            <w:tcW w:type="dxa" w:w="84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Membros podem alterar registros da carteira compartilhada; contas bancárias e orçamentos têm limitações de compartilhamento próprias.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YNAB empresarial [5]</w:t>
            </w:r>
          </w:p>
        </w:tc>
        <w:tc>
          <w:tcPr>
            <w:tcW w:type="dxa" w:w="84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 política descreve dados administrativos e uso agregado para o empregador, com condições para agregação. Não confundir uso agregado com acesso às finanças.</w:t>
            </w:r>
          </w:p>
        </w:tc>
      </w:tr>
    </w:tbl>
    <w:p>
      <w:pPr>
        <w:spacing w:after="20"/>
      </w:pPr>
    </w:p>
    <w:p>
      <w:pPr>
        <w:pStyle w:val="Heading2"/>
      </w:pPr>
      <w:r>
        <w:t>Modelo recomendado para o Clarevo</w:t>
      </w:r>
    </w:p>
    <w:p>
      <w:r>
        <w:t>Cada pessoa mantém sua identidade. Registros pertencem a um contexto pessoal ou familiar. Entrar em uma família não publica automaticamente o histórico pessoal. Quem convida explica o escopo; quem aceita conhece as permissões antes da confirmação. Revogação, saída e edição precisam atualizar todas as formas de acesso aos dados.</w:t>
      </w:r>
    </w:p>
    <w:p>
      <w:r>
        <w:t>No app, o seletor Pessoal/Família permanece visível. O formulário informa onde o gasto será salvo. Uma ação “Quem vê estes dados?” mostra os membros e as permissões daquele contexto. O demonstrador representa esse comportamento, mas não implementa autenticação ou controle de acesso.</w:t>
      </w:r>
    </w:p>
    <w:p>
      <w:pPr>
        <w:pStyle w:val="Heading2"/>
      </w:pPr>
      <w:r>
        <w:t>O que a empresa administra</w:t>
      </w:r>
    </w:p>
    <w:p>
      <w:r>
        <w:t>Contrato, vagas, convites, licenças e situação do benefício. Cuide da Grana e NUMA declaram limites de visibilidade financeira para empregadores. [12–13] Recomendamos que o Clarevo também separe financiamento do plano e autorização dos dados. Essa promessa exige proteção no backend, revisão de logs e testes de isolamento.</w:t>
      </w:r>
    </w:p>
    <w:p>
      <w:r>
        <w:t>Ao terminar o benefício, a identidade e o histórico continuam pessoais. Definir cobertura familiar, prazo de continuidade e contratação particular antes da venda. O painel empresarial pode avançar depois, mas organização, licenciamento e autorização devem existir no modelo inicial. Relatórios financeiros para RH ficam fora desta primeira proposta.</w:t>
      </w:r>
    </w:p>
    <w:p>
      <w:pPr>
        <w:pStyle w:val="Heading1"/>
        <w:pageBreakBefore/>
      </w:pPr>
      <w:r>
        <w:t>4 Padrões visuais e nossa leitura</w:t>
      </w:r>
    </w:p>
    <w:p>
      <w:r>
        <w:t>Observação de identidades e materiais oficiais, não de todas as telas atuais ou de animações medidas dentro dos aplicativos.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176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Referência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Padrão visual observado</w:t>
            </w:r>
          </w:p>
        </w:tc>
        <w:tc>
          <w:tcPr>
            <w:tcW w:type="dxa" w:w="41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Aplicação proposta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Organizze [1]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Verde de marca, superfícies claras e organização em blocos.</w:t>
            </w:r>
          </w:p>
        </w:tc>
        <w:tc>
          <w:tcPr>
            <w:tcW w:type="dxa" w:w="41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Cor forte em áreas de orientação e números legíveis.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YNAB [3]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Azul violeta, acentos vivos e desenhos leves nos materiais públicos.</w:t>
            </w:r>
          </w:p>
        </w:tc>
        <w:tc>
          <w:tcPr>
            <w:tcW w:type="dxa" w:w="41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Educação pode ter personalidade sem dominar os registros.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Monarch [7]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Identidade mais quente; publicação descreve maior contraste e densidade de informação.</w:t>
            </w:r>
          </w:p>
        </w:tc>
        <w:tc>
          <w:tcPr>
            <w:tcW w:type="dxa" w:w="41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Mostrar detalhes sem perder hierarquia ou exigir saltos de tela.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Nubank [14]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Roxo saturado na marca principal e variações por contexto. Referência de marca, não concorrente direto deste escopo.</w:t>
            </w:r>
          </w:p>
        </w:tc>
        <w:tc>
          <w:tcPr>
            <w:tcW w:type="dxa" w:w="41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Consistência de marca não exige uma única cor em toda a interface.</w:t>
            </w:r>
          </w:p>
        </w:tc>
      </w:tr>
    </w:tbl>
    <w:p>
      <w:pPr>
        <w:spacing w:after="20"/>
      </w:pPr>
    </w:p>
    <w:p>
      <w:pPr>
        <w:pStyle w:val="Heading2"/>
      </w:pPr>
      <w:r>
        <w:t>O que podemos concluir</w:t>
      </w:r>
    </w:p>
    <w:p>
      <w:r>
        <w:t>Esta amostra não aponta uma cor vencedora. Ela mostra soluções que combinam cor de marca com presença e áreas neutras para leitura. A recomendação para o Clarevo responde à preferência expressa de Enzo por um visual menos opaco: saturação em ações, cabeçalhos e acentos, com contraste estável nas informações.</w:t>
      </w:r>
    </w:p>
    <w:p>
      <w:r>
        <w:t>Não há evidência nesta pesquisa de que uma cor isolada aumente retenção ou garanta confiança. Azul e lima também não tornam a marca exclusiva. A distinção dependerá do símbolo, da composição, do desenho, da linguagem e da experiência implementada.</w:t>
      </w:r>
    </w:p>
    <w:p>
      <w:pPr>
        <w:pStyle w:val="Heading2"/>
      </w:pPr>
      <w:r>
        <w:t>Três direções para comparar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888"/>
        <w:gridCol w:w="3888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Direção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Cores centrais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Ênfase da maquete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Azul vivo e lima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Azul #2457F5</w:t>
              <w:br/>
              <w:t>Lima #D4F05B</w:t>
              <w:br/>
              <w:t>Texto #17223B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Resumo do mês e ação de registro. Recomendada.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Verde e tangerina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Verde #087E58</w:t>
              <w:br/>
              <w:t>Tangerina #FFB04A</w:t>
              <w:br/>
              <w:t>Texto #102D2D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Orçamento e despesas compartilhadas.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Índigo e coral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Índigo #4936C8</w:t>
              <w:br/>
              <w:t>Coral #FF7357</w:t>
              <w:br/>
              <w:t>Texto #211A47</w:t>
            </w:r>
          </w:p>
        </w:tc>
        <w:tc>
          <w:tcPr>
            <w:tcW w:type="dxa" w:w="38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Metas e acompanhamento de progresso.</w:t>
            </w:r>
          </w:p>
        </w:tc>
      </w:tr>
    </w:tbl>
    <w:p>
      <w:pPr>
        <w:spacing w:after="20"/>
      </w:pPr>
    </w:p>
    <w:p>
      <w:r>
        <w:rPr>
          <w:sz w:val="20"/>
        </w:rPr>
        <w:t>O comparador permite usar as propostas com dados fictícios. As alternativas mudam composição e prioridade da tela; não constituem um teste controlado apenas de cor. O tema escuro ainda deve ser desenhado e verificado separadamente.</w:t>
      </w:r>
    </w:p>
    <w:p>
      <w:pPr>
        <w:pStyle w:val="Heading1"/>
        <w:pageBreakBefore/>
      </w:pPr>
      <w:r>
        <w:t>5 Exemplo da direção recomendada</w:t>
      </w:r>
    </w:p>
    <w:p>
      <w:r>
        <w:t>Azul vivo e lima no resumo pessoal. Os valores pertencem a um exemplo fictício; o gasto pode ser anotado no demonstrador interativo.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6147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-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4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Composição conceitual para avaliação. Não representa um aplicativo em produção nem valida desempenho, integração bancária ou permissões.</w:t>
      </w:r>
    </w:p>
    <w:p>
      <w:pPr>
        <w:pStyle w:val="Heading1"/>
        <w:pageBreakBefore/>
      </w:pPr>
      <w:r>
        <w:t>6 Paleta tipografia e desenho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592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Papel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Cor proposta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Uso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Marca e ação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#2457F5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Ação principal, seleção e área de destaque.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Acento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#D4F05B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Metas, ilustrações e pequenos destaques com texto escuro.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Apoio ilustrativo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#F56545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Detalhes de educação e imagem. Não usar branco em texto pequeno.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Texto principal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#17223B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Valores, títulos e conteúdo.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Texto secundário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#4B5873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Rótulos e explicações com contraste.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Superfície e fundo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#FFFFFF e #F6F8FC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Leitura e separação dos componentes.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Erro e confirmação</w:t>
            </w:r>
          </w:p>
        </w:tc>
        <w:tc>
          <w:tcPr>
            <w:tcW w:type="dxa" w:w="259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#B42318 e #087E58</w:t>
            </w:r>
          </w:p>
        </w:tc>
        <w:tc>
          <w:tcPr>
            <w:tcW w:type="dxa" w:w="532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Estados com texto ou ícone; independentes da cor da marca.</w:t>
            </w:r>
          </w:p>
        </w:tc>
      </w:tr>
    </w:tbl>
    <w:p>
      <w:pPr>
        <w:spacing w:after="20"/>
      </w:pPr>
    </w:p>
    <w:p>
      <w:pPr>
        <w:pStyle w:val="Heading2"/>
      </w:pPr>
      <w:r>
        <w:t>Contraste calculado das combinações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736"/>
      </w:tblGrid>
      <w:tr>
        <w:trPr>
          <w:tblHeader/>
          <w:cantSplit/>
        </w:trPr>
        <w:tc>
          <w:tcPr>
            <w:tcW w:type="dxa" w:w="74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Combinação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Razão calculada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Branco sobre azul #2457F5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5,59:1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Texto #17223B sobre lima #D4F05B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12,36:1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Texto secundário #4B5873 sobre branco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7,14:1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Branco sobre verde #087E58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5,08:1</w:t>
            </w:r>
          </w:p>
        </w:tc>
      </w:tr>
      <w:tr>
        <w:trPr>
          <w:cantSplit/>
        </w:trPr>
        <w:tc>
          <w:tcPr>
            <w:tcW w:type="dxa" w:w="74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Branco sobre índigo #4936C8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7,94:1</w:t>
            </w:r>
          </w:p>
        </w:tc>
      </w:tr>
    </w:tbl>
    <w:p>
      <w:pPr>
        <w:spacing w:after="20"/>
      </w:pPr>
    </w:p>
    <w:p>
      <w:r>
        <w:t>Cálculo para cores opacas, pela luminância relativa. As combinações listadas superam o requisito AA de 4,5:1 para texto comum. [19] Isso não certifica a interface completa. Opacidade, gradientes, imagens, estados e tema escuro precisam de conferência própria. Branco sobre o coral de apoio resulta em 3,07:1 e não atende texto comum.</w:t>
      </w:r>
    </w:p>
    <w:p>
      <w:pPr>
        <w:pStyle w:val="Heading2"/>
      </w:pPr>
      <w:r>
        <w:t>Tipografia e ativos</w:t>
      </w:r>
    </w:p>
    <w:p>
      <w:r>
        <w:t>Manrope é uma candidata para a interface, com fonte do sistema como alternativa. [23] Usar números tabulares onde há alinhamento ou atualização. No produto, corpo de 16 px como ponto de partida, rótulos de 14 px e totais de 32–40 px; permitir ampliação sem cortar o valor.</w:t>
      </w:r>
    </w:p>
    <w:p>
      <w:r>
        <w:t>Ícones de uma única família, como Lucide, acompanhados de rótulos nas ações importantes. [24] Ilustrações geométricas em duas ou três cores, com formas abertas e pessoas diversas nas peças educativas. A abertura do logo pode orientar detalhes gráficos. Reservar desenhos maiores para entrada, educação e estados vazios; números e formulários recebem a maior parte do espaço.</w:t>
      </w:r>
    </w:p>
    <w:p>
      <w:pPr>
        <w:pStyle w:val="Heading1"/>
        <w:pageBreakBefore/>
      </w:pPr>
      <w:r>
        <w:t>7 Navegação e movimento</w:t>
      </w:r>
    </w:p>
    <w:p>
      <w:r>
        <w:t>Proponho quatro destinos principais: Resumo, Movimentações, Metas e Aprender. Pessoal/Família é um seletor de contexto no topo, presente nas tarefas. A situação do benefício fica em Conta, com acesso às regras de cobertura. A interface financeira mantém o foco na pessoa.</w:t>
      </w:r>
    </w:p>
    <w:p>
      <w:pPr>
        <w:pStyle w:val="Heading2"/>
      </w:pPr>
      <w:r>
        <w:t>Movimentos ligados a 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688"/>
        <w:gridCol w:w="2160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Situação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Comportamento proposto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Duração inicial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Pressionar um botão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Realce e pequena resposta de pressão.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100–150 ms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Trocar de contexto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Transição curta e nome do contexto atualizado.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180–220 ms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Abrir um detalhe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Expansão ou deslocamento curto que conserve a origem.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250–300 ms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Salvar um registro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Confirmação breve; totais finais atualizados diretamente.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200–300 ms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Registrar aporte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Barra muda do progresso anterior para o novo.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250–350 ms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Erro de preenchimento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Mensagem junto ao campo, com conteúdo preservado.</w:t>
            </w:r>
          </w:p>
        </w:tc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Resposta direta</w:t>
            </w:r>
          </w:p>
        </w:tc>
      </w:tr>
    </w:tbl>
    <w:p>
      <w:pPr>
        <w:spacing w:after="20"/>
      </w:pPr>
    </w:p>
    <w:p>
      <w:r>
        <w:t>Essas durações são especificações iniciais nossas. Os tokens de movimento do Material incluem durações curtas e médias nessa ordem de grandeza. [22] Não são medições de concorrentes nem prova de desempenho. Ajustar com o uso no dispositivo, evitando animar uma resposta do servidor como se ela já tivesse sido confirmada.</w:t>
      </w:r>
    </w:p>
    <w:p>
      <w:pPr>
        <w:pStyle w:val="Heading2"/>
      </w:pPr>
      <w:r>
        <w:t>Fluidez também depende do comportamento</w:t>
      </w:r>
    </w:p>
    <w:p>
      <w:r>
        <w:t>Salvar precisa ter situação visível, proteção contra envio repetido e caminho de recuperação em falha. Trocar de contexto não deve apagar o formulário sem aviso. Voltar a uma lista preserva posição e filtros. Abrir a composição de um valor permite conferir os eventos sem perder o período escolhido.</w:t>
      </w:r>
    </w:p>
    <w:p>
      <w:pPr>
        <w:pStyle w:val="Heading2"/>
      </w:pPr>
      <w:r>
        <w:t>Movimento reduzido e informação estável</w:t>
      </w:r>
    </w:p>
    <w:p>
      <w:r>
        <w:t>Respeitar a preferência de redução de movimento. Substituir deslocamentos e efeitos espaciais por mudança direta ou fade discreto, preservando o resultado da ação. Apple e W3C descrevem esse cuidado; a recomendação de animação por interação da WCAG citada é de nível AAA. [20–21]</w:t>
      </w:r>
    </w:p>
    <w:p>
      <w:r>
        <w:t>Evitar movimento contínuo em fundos, moedas caindo, contadores financeiros subindo do zero e celebrações automáticas sobre dívidas. A primeira leitura já mostra os valores finais. Cor e animação não substituem texto, estado ou confirmação.</w:t>
      </w:r>
    </w:p>
    <w:p>
      <w:pPr>
        <w:pStyle w:val="Heading1"/>
        <w:pageBreakBefore/>
      </w:pPr>
      <w:r>
        <w:t>8 Indicação de logo para o Clarevo</w:t>
      </w:r>
    </w:p>
    <w:p>
      <w:r>
        <w:t>Recomendo um símbolo construído a partir de um C aberto, com um pequeno elemento em lima, acompanhado do nome “clarevo” em minúsculas. A intenção é associar a abertura à clareza e deixar espaço para a ideia de organizar. Essa associação é uma hipótese de marca, ainda sem teste de reconhecimento.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7d083ea4-7978-40b1-ae8e-6906cbff29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Conceito gerado por IA para exploração da marca. Inclui aplicação de ícone, assinatura em cor, versão de uma cor e aproximações de tamanho pequeno. Não é o desenho vetorial final.</w:t>
      </w:r>
    </w:p>
    <w:p>
      <w:pPr>
        <w:pStyle w:val="Heading2"/>
      </w:pPr>
      <w:r>
        <w:t>Como desenvolver a proposta</w:t>
      </w:r>
    </w:p>
    <w:p>
      <w:r>
        <w:t>Refinar a geometria e o espaçamento do símbolo em vetor. Desenhar a assinatura tipográfica junto ao símbolo, com kerning próprio. Manter o ícone reconhecível em uma cor; o acento lima deve ser complementar, não a única parte que distingue a forma. O fundo azul permite uma aplicação forte no ícone do app.</w:t>
      </w:r>
    </w:p>
    <w:p>
      <w:r>
        <w:t>Testar o símbolo em 16, 24, 32 e 48 px, o recorte do ícone nas plataformas e os fundos claro e escuro. Fazer ajustes ópticos quando o detalhe interno ficar pequeno. Comparar a percepção com outras marcas do setor, inclusive para evitar leitura dominante de lua ou de símbolo genérico de progresso.</w:t>
      </w:r>
    </w:p>
    <w:p>
      <w:pPr>
        <w:pStyle w:val="Heading2"/>
      </w:pPr>
      <w:r>
        <w:t>Pacote após a escolha da direção</w:t>
      </w:r>
    </w:p>
    <w:p>
      <w:r>
        <w:t>Preparar versões horizontal, símbolo isolado, uma cor, reversa e arquivos vetoriais. Produzir o ícone a partir do mesmo desenho mestre, com espaçamento seguro conforme a plataforma. Antes do uso comercial, verificar disponibilidade do nome e do sinal no processo de marca. Esta pesquisa não realizou uma busca de anterioridade.</w:t>
      </w:r>
    </w:p>
    <w:p>
      <w:pPr>
        <w:pStyle w:val="Heading1"/>
        <w:pageBreakBefore/>
      </w:pPr>
      <w:r>
        <w:t>9 Como começar no Claude</w:t>
      </w:r>
    </w:p>
    <w:p>
      <w:r>
        <w:t>Criar um projeto Clarevo separado. Usar as instruções atualizadas, o plano inicial e o handoff de identidade e experiência. A proposta que agradou a Enzo serve de referência inicial, com aplicações e desenho final a refinar. Claude implementa; este material organiza requisitos, critérios e referências.</w:t>
      </w:r>
    </w:p>
    <w:p>
      <w:pPr>
        <w:pStyle w:val="Heading2"/>
      </w:pPr>
      <w:r>
        <w:t>Primeiro ciclo recomendado</w:t>
      </w:r>
    </w:p>
    <w:p>
      <w:r>
        <w:t>1. Modelar pessoa, contexto financeiro, vínculo familiar, organização, licença e direito ao plano como conceitos separados. Explicar como a autorização protege leitura e escrita, independentemente de quem paga o plano.</w:t>
      </w:r>
    </w:p>
    <w:p>
      <w:r>
        <w:t>2. Prototipar Resumo, Movimentações, Metas e Aprender com a paleta candidata. Completar o fluxo de despesa paga: preencher, conferir contexto, salvar, editar e verificar a composição do total. Implementar estados vazios, erro e carregamento.</w:t>
      </w:r>
    </w:p>
    <w:p>
      <w:r>
        <w:t>3. Conferir regras financeiras: precisão monetária, previsto versus realizado, transferência própria, fatura e parcelas. Não utilizar IA como origem dos saldos ou das permissões.</w:t>
      </w:r>
    </w:p>
    <w:p>
      <w:r>
        <w:t>4. Testar com pessoas antes de ampliar integrações. O painel empresarial pode começar com convites e licenças depois da fundação de acesso, sem expor dados financeiros.</w:t>
      </w:r>
    </w:p>
    <w:p>
      <w:pPr>
        <w:pStyle w:val="Heading2"/>
      </w:pPr>
      <w:r>
        <w:t>Piloto para avaliar as três exigências</w:t>
      </w:r>
    </w:p>
    <w:p>
      <w:r>
        <w:t>Sugestão de estudo qualitativo com 8–12 pessoas, incluindo integrantes de famílias, rendas fixas e variáveis e diferentes familiaridades com aplicativos. Acrescentar 2–3 responsáveis por benefícios para revisar o modelo de contratação. Essa amostra não permite estimar participação de mercado ou efeito estatístico sobre retenção.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624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Tarefa</w:t>
            </w:r>
          </w:p>
        </w:tc>
        <w:tc>
          <w:tcPr>
            <w:tcW w:type="dxa" w:w="66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0" w:after="0" w:line="259" w:lineRule="auto"/>
            </w:pPr>
            <w:r>
              <w:rPr>
                <w:b/>
                <w:color w:val="000000"/>
                <w:sz w:val="21"/>
              </w:rPr>
              <w:t>O que observar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Anotar e corrigir uma despesa</w:t>
            </w:r>
          </w:p>
        </w:tc>
        <w:tc>
          <w:tcPr>
            <w:tcW w:type="dxa" w:w="66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Conclusão, erros, tempo e clareza do resultado.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Trocar entre pessoal e família</w:t>
            </w:r>
          </w:p>
        </w:tc>
        <w:tc>
          <w:tcPr>
            <w:tcW w:type="dxa" w:w="66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Compreensão do contexto e de quem vê o registro.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Explicar os números do mês</w:t>
            </w:r>
          </w:p>
        </w:tc>
        <w:tc>
          <w:tcPr>
            <w:tcW w:type="dxa" w:w="66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Diferença entre saldo, realizado, previsto e compromissos.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Usar uma meta e uma explicação</w:t>
            </w:r>
          </w:p>
        </w:tc>
        <w:tc>
          <w:tcPr>
            <w:tcW w:type="dxa" w:w="66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Compreensão do aporte e da regra de fatura.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Comparar identidade e movimento</w:t>
            </w:r>
          </w:p>
        </w:tc>
        <w:tc>
          <w:tcPr>
            <w:tcW w:type="dxa" w:w="66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9" w:lineRule="auto"/>
            </w:pPr>
            <w:r>
              <w:rPr>
                <w:b w:val="0"/>
                <w:color w:val="000000"/>
                <w:sz w:val="21"/>
              </w:rPr>
              <w:t>Preferência visual, legibilidade, conforto e uso com movimento reduzido.</w:t>
            </w:r>
          </w:p>
        </w:tc>
      </w:tr>
    </w:tbl>
    <w:p>
      <w:pPr>
        <w:spacing w:after="20"/>
      </w:pPr>
    </w:p>
    <w:p>
      <w:r>
        <w:t>Registrar problemas por dimensão. Um bom resultado estético não compensa totais errados, e números corretos não dispensam uma experiência bonita e compreensível. O comparador é material de decisão, não evidência de validação com usuários.</w:t>
      </w:r>
    </w:p>
    <w:p>
      <w:pPr>
        <w:pStyle w:val="Heading1"/>
        <w:pageBreakBefore/>
      </w:pPr>
      <w:r>
        <w:t>10 Fontes de mercado</w:t>
      </w:r>
    </w:p>
    <w:p>
      <w:r>
        <w:rPr>
          <w:sz w:val="20"/>
        </w:rPr>
        <w:t>Fontes primárias consultadas em 07/10/2026. As datas de publicações específicas estão indicadas. A consulta não certifica as alegações dos fornecedores.</w:t>
      </w:r>
    </w:p>
    <w:p>
      <w:pPr>
        <w:keepNext/>
        <w:spacing w:after="40"/>
      </w:pPr>
      <w:r>
        <w:rPr>
          <w:sz w:val="20"/>
        </w:rPr>
        <w:t>[1] Organizze  Serviços, integrações, modelo anunciado e materiais visuais</w:t>
      </w:r>
    </w:p>
    <w:p>
      <w:pPr>
        <w:spacing w:after="180"/>
      </w:pPr>
      <w:r>
        <w:rPr>
          <w:sz w:val="18"/>
        </w:rPr>
        <w:t>https://www.organizze.com.br/</w:t>
      </w:r>
    </w:p>
    <w:p>
      <w:pPr>
        <w:keepNext/>
        <w:spacing w:after="40"/>
      </w:pPr>
      <w:r>
        <w:rPr>
          <w:sz w:val="20"/>
        </w:rPr>
        <w:t>[2] Mobills  Página oficial da parceria Sebrae Connect</w:t>
      </w:r>
    </w:p>
    <w:p>
      <w:pPr>
        <w:spacing w:after="180"/>
      </w:pPr>
      <w:r>
        <w:rPr>
          <w:sz w:val="18"/>
        </w:rPr>
        <w:t>https://www.mobills.com.br/sebraeconnect/</w:t>
      </w:r>
    </w:p>
    <w:p>
      <w:pPr>
        <w:keepNext/>
        <w:spacing w:after="40"/>
      </w:pPr>
      <w:r>
        <w:rPr>
          <w:sz w:val="20"/>
        </w:rPr>
        <w:t>[3] YNAB  Produto e materiais públicos de identidade</w:t>
      </w:r>
    </w:p>
    <w:p>
      <w:pPr>
        <w:spacing w:after="180"/>
      </w:pPr>
      <w:r>
        <w:rPr>
          <w:sz w:val="18"/>
        </w:rPr>
        <w:t>https://www.ynab.com/</w:t>
      </w:r>
    </w:p>
    <w:p>
      <w:pPr>
        <w:keepNext/>
        <w:spacing w:after="40"/>
      </w:pPr>
      <w:r>
        <w:rPr>
          <w:sz w:val="20"/>
        </w:rPr>
        <w:t>[4] YNAB Financial Wellness  Oferta de aplicativo e educação para empregadores</w:t>
      </w:r>
    </w:p>
    <w:p>
      <w:pPr>
        <w:spacing w:after="180"/>
      </w:pPr>
      <w:r>
        <w:rPr>
          <w:sz w:val="18"/>
        </w:rPr>
        <w:t>https://www.ynab.com/wellness</w:t>
      </w:r>
    </w:p>
    <w:p>
      <w:pPr>
        <w:keepNext/>
        <w:spacing w:after="40"/>
      </w:pPr>
      <w:r>
        <w:rPr>
          <w:sz w:val="20"/>
        </w:rPr>
        <w:t>[5] YNAB Privacy Policy  Dados administrativos e agregação no programa empresarial</w:t>
      </w:r>
    </w:p>
    <w:p>
      <w:pPr>
        <w:spacing w:after="180"/>
      </w:pPr>
      <w:r>
        <w:rPr>
          <w:sz w:val="18"/>
        </w:rPr>
        <w:t>https://www.ynab.com/privacy-policy</w:t>
      </w:r>
    </w:p>
    <w:p>
      <w:pPr>
        <w:keepNext/>
        <w:spacing w:after="40"/>
      </w:pPr>
      <w:r>
        <w:rPr>
          <w:sz w:val="20"/>
        </w:rPr>
        <w:t>[6] Monarch  Monarch for Couples and Households atualizado em abril de 2026</w:t>
      </w:r>
    </w:p>
    <w:p>
      <w:pPr>
        <w:spacing w:after="180"/>
      </w:pPr>
      <w:r>
        <w:rPr>
          <w:sz w:val="18"/>
        </w:rPr>
        <w:t>https://help.monarch.com/hc/en-us/articles/20926382202004-Monarch-for-Couples-and-Households</w:t>
      </w:r>
    </w:p>
    <w:p>
      <w:pPr>
        <w:keepNext/>
        <w:spacing w:after="40"/>
      </w:pPr>
      <w:r>
        <w:rPr>
          <w:sz w:val="20"/>
        </w:rPr>
        <w:t>[7] Monarch  Publicação da mudança de identidade em dezembro de 2024</w:t>
      </w:r>
    </w:p>
    <w:p>
      <w:pPr>
        <w:spacing w:after="180"/>
      </w:pPr>
      <w:r>
        <w:rPr>
          <w:sz w:val="18"/>
        </w:rPr>
        <w:t>https://www.monarch.com/blog/monarch-brand-refresh</w:t>
      </w:r>
    </w:p>
    <w:p>
      <w:pPr>
        <w:keepNext/>
        <w:spacing w:after="40"/>
      </w:pPr>
      <w:r>
        <w:rPr>
          <w:sz w:val="20"/>
        </w:rPr>
        <w:t>[8] BudgetBakers Wallet  Página de serviços do produto</w:t>
      </w:r>
    </w:p>
    <w:p>
      <w:pPr>
        <w:spacing w:after="180"/>
      </w:pPr>
      <w:r>
        <w:rPr>
          <w:sz w:val="18"/>
        </w:rPr>
        <w:t>https://budgetbakers.com/en/products/wallet/</w:t>
      </w:r>
    </w:p>
    <w:p>
      <w:pPr>
        <w:keepNext/>
        <w:spacing w:after="40"/>
      </w:pPr>
      <w:r>
        <w:rPr>
          <w:sz w:val="20"/>
        </w:rPr>
        <w:t>[9] BudgetBakers Wallet  Everything about Group Sharing atualizado em setembro de 2026</w:t>
      </w:r>
    </w:p>
    <w:p>
      <w:pPr>
        <w:spacing w:after="180"/>
      </w:pPr>
      <w:r>
        <w:rPr>
          <w:sz w:val="18"/>
        </w:rPr>
        <w:t>https://support.budgetbakers.com/hc/en-us/articles/7149394922002-Everything-about-Group-Sharing</w:t>
      </w:r>
    </w:p>
    <w:p>
      <w:pPr>
        <w:keepNext/>
        <w:spacing w:after="40"/>
      </w:pPr>
      <w:r>
        <w:rPr>
          <w:sz w:val="20"/>
        </w:rPr>
        <w:t>[10] Spendee  Shared wallets atualizado em agosto de 2026</w:t>
      </w:r>
    </w:p>
    <w:p>
      <w:pPr>
        <w:spacing w:after="180"/>
      </w:pPr>
      <w:r>
        <w:rPr>
          <w:sz w:val="18"/>
        </w:rPr>
        <w:t>https://help.spendee.com/article/224-shared-wallets</w:t>
      </w:r>
    </w:p>
    <w:p>
      <w:pPr>
        <w:keepNext/>
        <w:spacing w:after="40"/>
      </w:pPr>
      <w:r>
        <w:rPr>
          <w:sz w:val="20"/>
        </w:rPr>
        <w:t>[11] Onze  Oferta de saúde financeira empresarial</w:t>
      </w:r>
    </w:p>
    <w:p>
      <w:pPr>
        <w:spacing w:after="180"/>
      </w:pPr>
      <w:r>
        <w:rPr>
          <w:sz w:val="18"/>
        </w:rPr>
        <w:t>https://www.onze.com.br/saude-financeira/</w:t>
      </w:r>
    </w:p>
    <w:p>
      <w:pPr>
        <w:keepNext/>
        <w:spacing w:after="40"/>
      </w:pPr>
      <w:r>
        <w:rPr>
          <w:sz w:val="20"/>
        </w:rPr>
        <w:t>[12] Cuide da Grana  Oferta empresarial, portal e limites declarados de visibilidade</w:t>
      </w:r>
    </w:p>
    <w:p>
      <w:pPr>
        <w:spacing w:after="180"/>
      </w:pPr>
      <w:r>
        <w:rPr>
          <w:sz w:val="18"/>
        </w:rPr>
        <w:t>https://cuidedagrana.com/empresas.html</w:t>
      </w:r>
    </w:p>
    <w:p>
      <w:pPr>
        <w:pStyle w:val="Heading1"/>
        <w:pageBreakBefore/>
      </w:pPr>
      <w:r>
        <w:t>11 Fontes complementares</w:t>
      </w:r>
    </w:p>
    <w:p>
      <w:r>
        <w:rPr>
          <w:sz w:val="20"/>
        </w:rPr>
        <w:t>Fontes primárias consultadas em 07/10/2026. As datas de publicações específicas estão indicadas. A consulta não certifica as alegações dos fornecedores.</w:t>
      </w:r>
    </w:p>
    <w:p>
      <w:pPr>
        <w:keepNext/>
        <w:spacing w:after="40"/>
      </w:pPr>
      <w:r>
        <w:rPr>
          <w:sz w:val="20"/>
        </w:rPr>
        <w:t>[13] NUMA  Perguntas sobre adesão e privacidade do benefício</w:t>
      </w:r>
    </w:p>
    <w:p>
      <w:pPr>
        <w:spacing w:after="180"/>
      </w:pPr>
      <w:r>
        <w:rPr>
          <w:sz w:val="18"/>
        </w:rPr>
        <w:t>https://www.numaapp.com.br/faq</w:t>
      </w:r>
    </w:p>
    <w:p>
      <w:pPr>
        <w:keepNext/>
        <w:spacing w:after="40"/>
      </w:pPr>
      <w:r>
        <w:rPr>
          <w:sz w:val="20"/>
        </w:rPr>
        <w:t>[14] Nubank  Publicação de identidade visual em junho de 2026</w:t>
      </w:r>
    </w:p>
    <w:p>
      <w:pPr>
        <w:spacing w:after="180"/>
      </w:pPr>
      <w:r>
        <w:rPr>
          <w:sz w:val="18"/>
        </w:rPr>
        <w:t>https://blog.nubank.com.br/brand-refresh-como-renovamos-a-identidade-visual-do-nubank/</w:t>
      </w:r>
    </w:p>
    <w:p>
      <w:pPr>
        <w:keepNext/>
        <w:spacing w:after="40"/>
      </w:pPr>
      <w:r>
        <w:rPr>
          <w:sz w:val="20"/>
        </w:rPr>
        <w:t>[15] Serasa  Pesquisa de preocupações financeiras publicada em janeiro de 2025</w:t>
      </w:r>
    </w:p>
    <w:p>
      <w:pPr>
        <w:spacing w:after="180"/>
      </w:pPr>
      <w:r>
        <w:rPr>
          <w:sz w:val="18"/>
        </w:rPr>
        <w:t>https://www.serasa.com.br/imprensa/gastos-inesperados/</w:t>
      </w:r>
    </w:p>
    <w:p>
      <w:pPr>
        <w:keepNext/>
        <w:spacing w:after="40"/>
      </w:pPr>
      <w:r>
        <w:rPr>
          <w:sz w:val="20"/>
        </w:rPr>
        <w:t>[16] Banco Central  Diferença entre educação financeira e cidadania financeira</w:t>
      </w:r>
    </w:p>
    <w:p>
      <w:pPr>
        <w:spacing w:after="180"/>
      </w:pPr>
      <w:r>
        <w:rPr>
          <w:sz w:val="18"/>
        </w:rPr>
        <w:t>https://www.bcb.gov.br/meubc/faqs/p/qual-a-diferenca-entre-educacao-financeira-e-cidadania-financeira</w:t>
      </w:r>
    </w:p>
    <w:p>
      <w:pPr>
        <w:keepNext/>
        <w:spacing w:after="40"/>
      </w:pPr>
      <w:r>
        <w:rPr>
          <w:sz w:val="20"/>
        </w:rPr>
        <w:t>[17] Banco Central  Cliente do Open Finance</w:t>
      </w:r>
    </w:p>
    <w:p>
      <w:pPr>
        <w:spacing w:after="180"/>
      </w:pPr>
      <w:r>
        <w:rPr>
          <w:sz w:val="18"/>
        </w:rPr>
        <w:t>https://www.bcb.gov.br/estabilidadefinanceira/cliente-open-finance</w:t>
      </w:r>
    </w:p>
    <w:p>
      <w:pPr>
        <w:keepNext/>
        <w:spacing w:after="40"/>
      </w:pPr>
      <w:r>
        <w:rPr>
          <w:sz w:val="20"/>
        </w:rPr>
        <w:t>[18] Banco Central  Cancelamento da autorização no Open Finance</w:t>
      </w:r>
    </w:p>
    <w:p>
      <w:pPr>
        <w:spacing w:after="180"/>
      </w:pPr>
      <w:r>
        <w:rPr>
          <w:sz w:val="18"/>
        </w:rPr>
        <w:t>https://bcb.gov.br/meubc/faqs/p/como-cancelar-uma-autorizacao-no-open-finance</w:t>
      </w:r>
    </w:p>
    <w:p>
      <w:pPr>
        <w:keepNext/>
        <w:spacing w:after="40"/>
      </w:pPr>
      <w:r>
        <w:rPr>
          <w:sz w:val="20"/>
        </w:rPr>
        <w:t>[19] W3C  Understanding WCAG 2.2 Contrast Minimum</w:t>
      </w:r>
    </w:p>
    <w:p>
      <w:pPr>
        <w:spacing w:after="180"/>
      </w:pPr>
      <w:r>
        <w:rPr>
          <w:sz w:val="18"/>
        </w:rPr>
        <w:t>https://www.w3.org/WAI/WCAG22/Understanding/contrast-minimum.html</w:t>
      </w:r>
    </w:p>
    <w:p>
      <w:pPr>
        <w:keepNext/>
        <w:spacing w:after="40"/>
      </w:pPr>
      <w:r>
        <w:rPr>
          <w:sz w:val="20"/>
        </w:rPr>
        <w:t>[20] W3C  Understanding WCAG 2.2 Animation from Interactions</w:t>
      </w:r>
    </w:p>
    <w:p>
      <w:pPr>
        <w:spacing w:after="180"/>
      </w:pPr>
      <w:r>
        <w:rPr>
          <w:sz w:val="18"/>
        </w:rPr>
        <w:t>https://www.w3.org/WAI/WCAG22/Understanding/animation-from-interactions.html</w:t>
      </w:r>
    </w:p>
    <w:p>
      <w:pPr>
        <w:keepNext/>
        <w:spacing w:after="40"/>
      </w:pPr>
      <w:r>
        <w:rPr>
          <w:sz w:val="20"/>
        </w:rPr>
        <w:t>[21] Apple  Reduced Motion evaluation criteria</w:t>
      </w:r>
    </w:p>
    <w:p>
      <w:pPr>
        <w:spacing w:after="180"/>
      </w:pPr>
      <w:r>
        <w:rPr>
          <w:sz w:val="18"/>
        </w:rPr>
        <w:t>https://developer.apple.com/help/app-store-connect/manage-app-accessibility/reduced-motion-evaluation-criteria</w:t>
      </w:r>
    </w:p>
    <w:p>
      <w:pPr>
        <w:keepNext/>
        <w:spacing w:after="40"/>
      </w:pPr>
      <w:r>
        <w:rPr>
          <w:sz w:val="20"/>
        </w:rPr>
        <w:t>[22] Material Components  Documentação oficial de motion tokens</w:t>
      </w:r>
    </w:p>
    <w:p>
      <w:pPr>
        <w:spacing w:after="180"/>
      </w:pPr>
      <w:r>
        <w:rPr>
          <w:sz w:val="18"/>
        </w:rPr>
        <w:t>https://github.com/material-components/material-components-android/blob/master/docs/theming/Motion.md</w:t>
      </w:r>
    </w:p>
    <w:p>
      <w:pPr>
        <w:keepNext/>
        <w:spacing w:after="40"/>
      </w:pPr>
      <w:r>
        <w:rPr>
          <w:sz w:val="20"/>
        </w:rPr>
        <w:t>[23] Google Fonts  Catálogo da família Manrope</w:t>
      </w:r>
    </w:p>
    <w:p>
      <w:pPr>
        <w:spacing w:after="180"/>
      </w:pPr>
      <w:r>
        <w:rPr>
          <w:sz w:val="18"/>
        </w:rPr>
        <w:t>https://fonts.google.com/specimen/Manrope</w:t>
      </w:r>
    </w:p>
    <w:p>
      <w:pPr>
        <w:keepNext/>
        <w:spacing w:after="40"/>
      </w:pPr>
      <w:r>
        <w:rPr>
          <w:sz w:val="20"/>
        </w:rPr>
        <w:t>[24] Lucide  Repositório oficial e licença dos ícones</w:t>
      </w:r>
    </w:p>
    <w:p>
      <w:pPr>
        <w:spacing w:after="180"/>
      </w:pPr>
      <w:r>
        <w:rPr>
          <w:sz w:val="18"/>
        </w:rPr>
        <w:t>https://github.com/lucide-icons/lucide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Clarevo  |  Pesquisa e direção visual  |  07/10/2026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Clarevo Pesquisa de mercado e direção visual</dc:title>
  <dc:subject>Referências de mercado e propostas para o app novo</dc:subject>
  <dc:creator>Projeto Clarevo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