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Clarevo</w:t>
        <w:br/>
        <w:t>Entrada e primeiro fluxo financeiro</w:t>
      </w:r>
    </w:p>
    <w:p>
      <w:pPr>
        <w:pStyle w:val="Subtitle"/>
      </w:pPr>
      <w:r>
        <w:t>Handoff para iniciar o desenvolvimento no Claude</w:t>
        <w:br/>
        <w:t>07 de outubro de 2026  |  Versão 1</w:t>
      </w:r>
    </w:p>
    <w:p>
      <w:r>
        <w:t>O primeiro ciclo entrega uma pessoa entrando no Clarevo, criando sua conta, registrando um recebimento ou gasto já realizado e conferindo o efeito no mês. Ela também consegue corrigir e excluir o registro. Esse fluxo será a base para família e benefício empresarial.</w:t>
      </w:r>
    </w:p>
    <w:p>
      <w:r>
        <w:t>Enzo aprovou a identidade azul vivo e lima, o C aberto e a estrutura do Resumo. A evolução visual usa formas mais orgânicas em ilustrações e estados vazios. Mantemos a hierarquia, os números e a ação Anotar gasto como referência.</w:t>
      </w:r>
    </w:p>
    <w:p>
      <w:pPr>
        <w:pStyle w:val="Heading2"/>
      </w:pPr>
      <w:r>
        <w:t>O que preservar no Resumo</w:t>
      </w:r>
    </w:p>
    <w:p>
      <w:r>
        <w:t>Cabeçalho azul, seletor Pessoal/Família, período mensal, recebido e pago, Diferença do mês, Anotar gasto, compromissos separados, lista de pagamentos, card educativo em lima e Quem vê estes dados.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Papel</w:t>
            </w:r>
          </w:p>
        </w:tc>
        <w:tc>
          <w:tcPr>
            <w:tcW w:type="dxa" w:w="73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Referência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Marca e ação</w:t>
            </w:r>
          </w:p>
        </w:tc>
        <w:tc>
          <w:tcPr>
            <w:tcW w:type="dxa" w:w="73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Azul #2457F5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Acento</w:t>
            </w:r>
          </w:p>
        </w:tc>
        <w:tc>
          <w:tcPr>
            <w:tcW w:type="dxa" w:w="73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Lima #D4F05B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Texto e secundário</w:t>
            </w:r>
          </w:p>
        </w:tc>
        <w:tc>
          <w:tcPr>
            <w:tcW w:type="dxa" w:w="73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#17223B e #4B5873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Fundo e superfície</w:t>
            </w:r>
          </w:p>
        </w:tc>
        <w:tc>
          <w:tcPr>
            <w:tcW w:type="dxa" w:w="73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#F6F8FC e #FFFFFF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Erro e confirmação</w:t>
            </w:r>
          </w:p>
        </w:tc>
        <w:tc>
          <w:tcPr>
            <w:tcW w:type="dxa" w:w="73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#B42318 e #087E58</w:t>
            </w:r>
          </w:p>
        </w:tc>
      </w:tr>
    </w:tbl>
    <w:p>
      <w:pPr>
        <w:spacing w:after="20"/>
      </w:pPr>
    </w:p>
    <w:p>
      <w:pPr>
        <w:pStyle w:val="Heading2"/>
      </w:pPr>
      <w:r>
        <w:t>Alcance deste ciclo</w:t>
      </w:r>
    </w:p>
    <w:p>
      <w:r>
        <w:t>Entrada e recuperação de acesso; primeira conta pessoal; recebimento e despesa manuais; lista, detalhe, edição e exclusão; resumo e composição dos totais. Metas, convites familiares, cartões, integração bancária, cobrança e painel empresarial avançam em ciclos próprios.</w:t>
      </w:r>
    </w:p>
    <w:p>
      <w:r>
        <w:t>A arquitetura separa pessoa, contexto financeiro e acesso ao plano desde o início. A stack ainda não foi escolhida; o Claude deve recomendar cliente mobile, backend e autenticação com documentação oficial atual, sem herdar uma escolha do Bíos.</w:t>
      </w:r>
    </w:p>
    <w:p>
      <w:pPr>
        <w:pStyle w:val="Heading1"/>
        <w:pageBreakBefore/>
      </w:pPr>
      <w:r>
        <w:t>1 Resumo que orienta as próximas telas</w:t>
      </w:r>
    </w:p>
    <w:p>
      <w:r>
        <w:t>Manter esta estrutura na implementação. A referência usa dados fictícios de outubro de 2026 no contexto Pessoal. Recebido e Pago levam aos registros que compõem cada total.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2743200" cy="6625883"/>
            <wp:docPr id="1" name="Picture 1" descr="Clarevo resumo mensal com contexto recebido pago compromissos e educ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-flow-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625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A empresa poderá patrocinar o acesso ao plano, com autorização separada das finanças. O fluxo pessoal permanece o centro da experiência.</w:t>
      </w:r>
    </w:p>
    <w:p>
      <w:pPr>
        <w:pStyle w:val="Heading1"/>
        <w:pageBreakBefore/>
      </w:pPr>
      <w:r>
        <w:t>2 Entrada com a identidade aprovada</w:t>
      </w:r>
    </w:p>
    <w:p>
      <w:r>
        <w:t>Abertura breve e entrada direta. As formas orgânicas têm função ilustrativa; números, campos e ações mantêm alinhamento e leitura previsíveis. As credenciais mostradas pertencem a um exemplo fictício.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2039112" cy="3963197"/>
            <wp:docPr id="2" name="Picture 2" descr="Clarevo tela de boas vindas com formas orgânicas azuis e li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-flow-welc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9112" cy="396319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039112" cy="3963197"/>
            <wp:docPr id="3" name="Picture 3" descr="Clarevo tela de entrada com e mail senha e recuperação de aces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-flow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9112" cy="396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Boas vindas e entrada. A demonstração simula o acesso; a implementação precisa validar a identidade e a sessão antes de consultar registros.</w:t>
      </w:r>
    </w:p>
    <w:p>
      <w:pPr>
        <w:pStyle w:val="Heading2"/>
      </w:pPr>
      <w:r>
        <w:t>Textos e desenho</w:t>
      </w:r>
    </w:p>
    <w:p>
      <w:r>
        <w:t>“Seu dinheiro, mais claro.”; “Acompanhe o seu mês e construa planos para você e sua família.”; “Criar conta”; “Entrar”; “Esqueci minha senha”. Preservar o logo aprovado e usar seu vetor fiel quando disponível.</w:t>
      </w:r>
    </w:p>
    <w:p>
      <w:r>
        <w:t>Campos de pelo menos 16 px, foco visível, toque próximo de 44 px e transições de aproximadamente 120 a 230 ms. Respeitar redução de movimento. O tema claro apresentado é a referência deste ciclo; outros temas precisam de revisão própria.</w:t>
      </w:r>
    </w:p>
    <w:p>
      <w:pPr>
        <w:pStyle w:val="Heading1"/>
        <w:pageBreakBefore/>
      </w:pPr>
      <w:r>
        <w:t>3 Acesso e primeira conta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Tela</w:t>
            </w:r>
          </w:p>
        </w:tc>
        <w:tc>
          <w:tcPr>
            <w:tcW w:type="dxa" w:w="799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Ação e resultado esperado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Criar conta</w:t>
            </w:r>
          </w:p>
        </w:tc>
        <w:tc>
          <w:tcPr>
            <w:tcW w:type="dxa" w:w="799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Nome de apresentação, e-mail e senha. Iniciar confirmação com o provedor real.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Confirmar e-mail</w:t>
            </w:r>
          </w:p>
        </w:tc>
        <w:tc>
          <w:tcPr>
            <w:tcW w:type="dxa" w:w="799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Mostrar endereço e reenvio com intervalo real. Já confirmei meu e-mail verifica o estado da identidade.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Entrar</w:t>
            </w:r>
          </w:p>
        </w:tc>
        <w:tc>
          <w:tcPr>
            <w:tcW w:type="dxa" w:w="799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Validar credenciais e sessão. Retornar ao Resumo ou ao destino permitido.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Recuperar acesso</w:t>
            </w:r>
          </w:p>
        </w:tc>
        <w:tc>
          <w:tcPr>
            <w:tcW w:type="dxa" w:w="799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Solicitar link, abrir link válido, definir Nova senha e Salvar nova senha. Link expirado permite novo pedido.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Sua primeira conta</w:t>
            </w:r>
          </w:p>
        </w:tc>
        <w:tc>
          <w:tcPr>
            <w:tcW w:type="dxa" w:w="799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Nome inicial Conta principal, editável. Criar contexto pessoal e conta BRL uma única vez.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Resumo sem registros</w:t>
            </w:r>
          </w:p>
        </w:tc>
        <w:tc>
          <w:tcPr>
            <w:tcW w:type="dxa" w:w="799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Listas vazias e totais conhecidos iguais a zero. Nenhum dado fictício entra na conta de produção.</w:t>
            </w:r>
          </w:p>
        </w:tc>
      </w:tr>
    </w:tbl>
    <w:p>
      <w:pPr>
        <w:spacing w:after="20"/>
      </w:pPr>
    </w:p>
    <w:p>
      <w:pPr>
        <w:pStyle w:val="Heading2"/>
      </w:pPr>
      <w:r>
        <w:t>Mensagens e comportamento</w:t>
      </w:r>
    </w:p>
    <w:p>
      <w:r>
        <w:t>E-mail malformado recebe validação junto ao campo. Login inválido: “Não foi possível entrar. Confira e-mail e senha.” Recuperação: “Se houver uma conta com esse endereço, você receberá as instruções para recuperar o acesso.” Erro de rede preserva e-mail e oferece nova tentativa.</w:t>
      </w:r>
    </w:p>
    <w:p>
      <w:r>
        <w:t>Confirmação pendente não libera os registros. Repetir o callback não duplica conta ou contexto. Ao sair, limpar dados de sessão e caches no dispositivo; o histórico persistido permanece. Sessão expirada retorna à entrada e recupera o destino autorizado depois do login.</w:t>
      </w:r>
    </w:p>
    <w:p>
      <w:pPr>
        <w:pStyle w:val="Heading2"/>
      </w:pPr>
      <w:r>
        <w:t>Segurança do acesso</w:t>
      </w:r>
    </w:p>
    <w:p>
      <w:r>
        <w:t>Usar autenticação de um provedor, configurar política de senha documentada e limites contra tentativas abusivas. Não armazenar senhas em texto simples nem incluí-las em logs. As respostas não devem revelar desnecessariamente a existência de uma conta. Essas orientações se apoiam no OWASP Authentication Cheat Sheet. [1]</w:t>
      </w:r>
    </w:p>
    <w:p>
      <w:pPr>
        <w:pStyle w:val="Heading2"/>
      </w:pPr>
      <w:r>
        <w:t>Saldo inicial é opcional</w:t>
      </w:r>
    </w:p>
    <w:p>
      <w:r>
        <w:t>A pessoa pode começar sem informar saldo. Nesse caso, o app ainda calcula a diferença dos movimentos do mês, mas não apresenta um saldo bancário calculado. Um saldo inicial informado depois é evento próprio e não receita.</w:t>
      </w:r>
    </w:p>
    <w:p>
      <w:pPr>
        <w:pStyle w:val="Heading1"/>
        <w:pageBreakBefore/>
      </w:pPr>
      <w:r>
        <w:t>4 Registrar conferir e corrigir</w:t>
      </w:r>
    </w:p>
    <w:p>
      <w:r>
        <w:t>Anotar gasto começa no Resumo ou em Movimentações. Registrar recebimento fica em Movimentações. Ambos mostram contexto, conta, situação realizada e data. As telas abaixo representam um gasto de R$ 80 já pago.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1938528" cy="4215056"/>
            <wp:docPr id="4" name="Picture 4" descr="Clarevo formulário de gasto já pago com descrição valor data e contex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-flow-form-cl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421505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938528" cy="4727026"/>
            <wp:docPr id="5" name="Picture 5" descr="Clarevo detalhe do gasto salvo com editar excluir e retorno ao resum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-flow-detail-cle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472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Formulário e detalhe após salvar. O detalhe confirma o período afetado e oferece Editar registro, Excluir registro e Ver resumo do mês.</w:t>
      </w:r>
    </w:p>
    <w:p>
      <w:r>
        <w:t>Descrição obrigatória de 1 a 80 caracteres; valor positivo; data civil válida; conta e contexto obrigatórios. Categoria pode ficar Sem categoria. Quando houver uma única conta, mostrar o nome sem um seletor redundante.</w:t>
      </w:r>
    </w:p>
    <w:p>
      <w:r>
        <w:t>Na edição, manter o ID e atualizar a versão. Na exclusão, confirmar descrição, valor e contexto, com Cancelar e Excluir registro. Confirmar sucesso somente depois da persistência. Abrir uma explicação e voltar mantém o preenchimento.</w:t>
      </w:r>
    </w:p>
    <w:p>
      <w:pPr>
        <w:pStyle w:val="Heading1"/>
        <w:pageBreakBefore/>
      </w:pPr>
      <w:r>
        <w:t>5 Modelo financeiro e separação de acesso</w:t>
      </w:r>
    </w:p>
    <w:p>
      <w:pPr>
        <w:pStyle w:val="Heading2"/>
      </w:pPr>
      <w:r>
        <w:t>Uma origem para os registros</w:t>
      </w:r>
    </w:p>
    <w:p>
      <w:r>
        <w:t>Lista, detalhe e resumo consultam a mesma origem. Recebido soma rendas realizadas; Pago soma despesas pagas. Aplicar o mesmo contexto e período da data de pagamento ou recebimento. Diferença do mês é recebido menos pago, sem incluir compromissos futuros ou registros excluídos.</w:t>
      </w:r>
    </w:p>
    <w:p>
      <w:r>
        <w:t>Essa diferença não é saldo da conta nem dinheiro disponível. Recebido e Pago abrem suas composições. Ainda a pagar consulta compromissos separados. Os R$ 650 do exemplo são fictícios; cadastro de compromissos fica para outro ciclo.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848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Entidade</w:t>
            </w:r>
          </w:p>
        </w:tc>
        <w:tc>
          <w:tcPr>
            <w:tcW w:type="dxa" w:w="78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Contrato mínimo proposto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Pessoa</w:t>
            </w:r>
          </w:p>
        </w:tc>
        <w:tc>
          <w:tcPr>
            <w:tcW w:type="dxa" w:w="78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Identidade autenticada, nome de apresentação, fuso e locale.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Contexto e vínculo</w:t>
            </w:r>
          </w:p>
        </w:tc>
        <w:tc>
          <w:tcPr>
            <w:tcW w:type="dxa" w:w="78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ID, tipo pessoal ou familiar, titularidade, moeda e permissões por ação.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Conta financeira</w:t>
            </w:r>
          </w:p>
        </w:tc>
        <w:tc>
          <w:tcPr>
            <w:tcW w:type="dxa" w:w="78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ID, contexto, nome, moeda e situação. Saldo inicial desconhecido é distinto de zero.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Registro</w:t>
            </w:r>
          </w:p>
        </w:tc>
        <w:tc>
          <w:tcPr>
            <w:tcW w:type="dxa" w:w="78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ID, contexto, conta, tipo, centavos inteiros, moeda, data civil, descrição, categoria, situação, autoria, versão e estado de exclusão.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Operação</w:t>
            </w:r>
          </w:p>
        </w:tc>
        <w:tc>
          <w:tcPr>
            <w:tcW w:type="dxa" w:w="78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Chave de idempotência, ator, contexto, ação, estado e registro resultante.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Organização e plano</w:t>
            </w:r>
          </w:p>
        </w:tc>
        <w:tc>
          <w:tcPr>
            <w:tcW w:type="dxa" w:w="78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Contrato, licença, beneficiário e validade, separados das permissões financeiras.</w:t>
            </w:r>
          </w:p>
        </w:tc>
      </w:tr>
    </w:tbl>
    <w:p>
      <w:pPr>
        <w:spacing w:after="20"/>
      </w:pPr>
    </w:p>
    <w:p>
      <w:pPr>
        <w:pStyle w:val="Heading2"/>
      </w:pPr>
      <w:r>
        <w:t>Precisão e integridade</w:t>
      </w:r>
    </w:p>
    <w:p>
      <w:r>
        <w:t>Aceitar 80, 80,00 e 1.234,56; converter para centavos inteiros sem acúmulo financeiro em ponto flutuante. Rejeitar zero, negativo, ambiguidade e mais de duas casas. Limite inicial proposto: R$ 9.999.999,99 por registro. Validar também no backend. Conta e registro têm o mesmo contexto e moeda.</w:t>
      </w:r>
    </w:p>
    <w:p>
      <w:r>
        <w:t>Data realizada não é futura e não muda de dia por conversão de fuso. Na produção, o padrão é o dia atual da pessoa; a data fixa e os dois meses da demonstração não limitam o produto.</w:t>
      </w:r>
    </w:p>
    <w:p>
      <w:pPr>
        <w:pStyle w:val="Heading2"/>
      </w:pPr>
      <w:r>
        <w:t>Autorização fica na camada de dados</w:t>
      </w:r>
    </w:p>
    <w:p>
      <w:r>
        <w:t>Autorizar toda leitura e alteração por pessoa, recurso, contexto e ação. Negar acesso sem permissão explícita. Empresa patrocina o plano, sem permissão financeira. Aplicar essa proteção na camada de dados, inclusive no acesso direto por ID. [2]</w:t>
      </w:r>
    </w:p>
    <w:p>
      <w:pPr>
        <w:pStyle w:val="Heading1"/>
        <w:pageBreakBefore/>
      </w:pPr>
      <w:r>
        <w:t>6 Estados e critérios verificáveis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7560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0"/>
              </w:rPr>
              <w:t>Situação</w:t>
            </w:r>
          </w:p>
        </w:tc>
        <w:tc>
          <w:tcPr>
            <w:tcW w:type="dxa" w:w="75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0"/>
              </w:rPr>
              <w:t>Comportamento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Valor ou data inválidos</w:t>
            </w:r>
          </w:p>
        </w:tc>
        <w:tc>
          <w:tcPr>
            <w:tcW w:type="dxa" w:w="75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Erro junto ao campo, foco no primeiro erro e preenchimento preservado.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Envio em andamento</w:t>
            </w:r>
          </w:p>
        </w:tc>
        <w:tc>
          <w:tcPr>
            <w:tcW w:type="dxa" w:w="75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Manter rascunho e bloquear repetição. Chave idempotente reconcilia nova tentativa após timeout.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Falha ao salvar</w:t>
            </w:r>
          </w:p>
        </w:tc>
        <w:tc>
          <w:tcPr>
            <w:tcW w:type="dxa" w:w="75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Não confirmar sucesso. Preservar preenchimento e oferecer tentar novamente.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Consulta falhou</w:t>
            </w:r>
          </w:p>
        </w:tc>
        <w:tc>
          <w:tcPr>
            <w:tcW w:type="dxa" w:w="75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Mostrar erro e nova tentativa. Não apresentar zero como resultado confirmado.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Saída com alterações</w:t>
            </w:r>
          </w:p>
        </w:tc>
        <w:tc>
          <w:tcPr>
            <w:tcW w:type="dxa" w:w="75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Continuar editando ou Descartar alterações. Troca de contexto não salva o rascunho em outro espaço.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Versão alterada por outro aparelho</w:t>
            </w:r>
          </w:p>
        </w:tc>
        <w:tc>
          <w:tcPr>
            <w:tcW w:type="dxa" w:w="75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Informar conflito, manter rascunho e permitir conferir a versão atual.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Exclusão cancelada ou falhou</w:t>
            </w:r>
          </w:p>
        </w:tc>
        <w:tc>
          <w:tcPr>
            <w:tcW w:type="dxa" w:w="75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Registro e totais permanecem; falha oferece nova tentativa.</w:t>
            </w:r>
          </w:p>
        </w:tc>
      </w:tr>
    </w:tbl>
    <w:p>
      <w:pPr>
        <w:spacing w:after="20"/>
      </w:pPr>
    </w:p>
    <w:p>
      <w:pPr>
        <w:pStyle w:val="Heading2"/>
      </w:pPr>
      <w:r>
        <w:t>Sequência financeira no mesmo contexto e mês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958"/>
        <w:gridCol w:w="1973"/>
        <w:gridCol w:w="1973"/>
      </w:tblGrid>
      <w:tr>
        <w:trPr>
          <w:tblHeader/>
          <w:cantSplit/>
        </w:trPr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0"/>
              </w:rPr>
              <w:t>Operação</w:t>
            </w:r>
          </w:p>
        </w:tc>
        <w:tc>
          <w:tcPr>
            <w:tcW w:type="dxa" w:w="195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0"/>
              </w:rPr>
              <w:t>Recebido</w:t>
            </w:r>
          </w:p>
        </w:tc>
        <w:tc>
          <w:tcPr>
            <w:tcW w:type="dxa" w:w="197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0"/>
              </w:rPr>
              <w:t>Pago</w:t>
            </w:r>
          </w:p>
        </w:tc>
        <w:tc>
          <w:tcPr>
            <w:tcW w:type="dxa" w:w="197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0"/>
              </w:rPr>
              <w:t>Diferença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Base de teste</w:t>
            </w:r>
          </w:p>
        </w:tc>
        <w:tc>
          <w:tcPr>
            <w:tcW w:type="dxa" w:w="195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6.000,00</w:t>
            </w:r>
          </w:p>
        </w:tc>
        <w:tc>
          <w:tcPr>
            <w:tcW w:type="dxa" w:w="197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3.900,00</w:t>
            </w:r>
          </w:p>
        </w:tc>
        <w:tc>
          <w:tcPr>
            <w:tcW w:type="dxa" w:w="197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2.100,00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Criar gasto de 80,00</w:t>
            </w:r>
          </w:p>
        </w:tc>
        <w:tc>
          <w:tcPr>
            <w:tcW w:type="dxa" w:w="195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6.000,00</w:t>
            </w:r>
          </w:p>
        </w:tc>
        <w:tc>
          <w:tcPr>
            <w:tcW w:type="dxa" w:w="197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3.980,00</w:t>
            </w:r>
          </w:p>
        </w:tc>
        <w:tc>
          <w:tcPr>
            <w:tcW w:type="dxa" w:w="197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2.020,00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Editar gasto para 95,00</w:t>
            </w:r>
          </w:p>
        </w:tc>
        <w:tc>
          <w:tcPr>
            <w:tcW w:type="dxa" w:w="195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6.000,00</w:t>
            </w:r>
          </w:p>
        </w:tc>
        <w:tc>
          <w:tcPr>
            <w:tcW w:type="dxa" w:w="197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3.995,00</w:t>
            </w:r>
          </w:p>
        </w:tc>
        <w:tc>
          <w:tcPr>
            <w:tcW w:type="dxa" w:w="197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2.005,00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Excluir esse gasto</w:t>
            </w:r>
          </w:p>
        </w:tc>
        <w:tc>
          <w:tcPr>
            <w:tcW w:type="dxa" w:w="195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6.000,00</w:t>
            </w:r>
          </w:p>
        </w:tc>
        <w:tc>
          <w:tcPr>
            <w:tcW w:type="dxa" w:w="197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3.900,00</w:t>
            </w:r>
          </w:p>
        </w:tc>
        <w:tc>
          <w:tcPr>
            <w:tcW w:type="dxa" w:w="197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2.100,00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Criar renda de 200,00</w:t>
            </w:r>
          </w:p>
        </w:tc>
        <w:tc>
          <w:tcPr>
            <w:tcW w:type="dxa" w:w="195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6.200,00</w:t>
            </w:r>
          </w:p>
        </w:tc>
        <w:tc>
          <w:tcPr>
            <w:tcW w:type="dxa" w:w="197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3.900,00</w:t>
            </w:r>
          </w:p>
        </w:tc>
        <w:tc>
          <w:tcPr>
            <w:tcW w:type="dxa" w:w="197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2.300,00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Editar renda para 250,00</w:t>
            </w:r>
          </w:p>
        </w:tc>
        <w:tc>
          <w:tcPr>
            <w:tcW w:type="dxa" w:w="195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6.250,00</w:t>
            </w:r>
          </w:p>
        </w:tc>
        <w:tc>
          <w:tcPr>
            <w:tcW w:type="dxa" w:w="197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3.900,00</w:t>
            </w:r>
          </w:p>
        </w:tc>
        <w:tc>
          <w:tcPr>
            <w:tcW w:type="dxa" w:w="197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2.350,00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Excluir essa renda</w:t>
            </w:r>
          </w:p>
        </w:tc>
        <w:tc>
          <w:tcPr>
            <w:tcW w:type="dxa" w:w="195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6.000,00</w:t>
            </w:r>
          </w:p>
        </w:tc>
        <w:tc>
          <w:tcPr>
            <w:tcW w:type="dxa" w:w="197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3.900,00</w:t>
            </w:r>
          </w:p>
        </w:tc>
        <w:tc>
          <w:tcPr>
            <w:tcW w:type="dxa" w:w="197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2.100,00</w:t>
            </w:r>
          </w:p>
        </w:tc>
      </w:tr>
    </w:tbl>
    <w:p>
      <w:pPr>
        <w:spacing w:after="20"/>
      </w:pPr>
    </w:p>
    <w:p>
      <w:r>
        <w:t>Valores em reais. R$ 650 previstos permanecem separados. Um registro de setembro não entra em outubro; editar sua data atualiza os dois meses. Outra pessoa não consegue consultar ou alterar o registro por ID ou endpoint alternativo.</w:t>
      </w:r>
    </w:p>
    <w:p>
      <w:pPr>
        <w:pStyle w:val="Heading2"/>
      </w:pPr>
      <w:r>
        <w:t>O que foi verificado no demonstrador</w:t>
      </w:r>
    </w:p>
    <w:p>
      <w:r>
        <w:t>Criação, edição e exclusão de renda e despesa; totais; período; contextos fictícios; rascunho; educação; valores inválidos; data impossível; texto escapado; entrada e recuperação simuladas; conta vazia; redução de movimento. Em 320 e 736 px, não houve transbordamento e os botões têm pelo menos 44 px de altura.</w:t>
      </w:r>
    </w:p>
    <w:p>
      <w:pPr>
        <w:pStyle w:val="Heading1"/>
        <w:pageBreakBefore/>
      </w:pPr>
      <w:r>
        <w:t>7 Como iniciar e entregar no Claude</w:t>
      </w:r>
    </w:p>
    <w:p>
      <w:pPr>
        <w:pStyle w:val="Heading2"/>
      </w:pPr>
      <w:r>
        <w:t>Arquivos para o projeto</w:t>
      </w:r>
    </w:p>
    <w:p>
      <w:r>
        <w:t>Crie um projeto chamado Clarevo. Cole o conteúdo de CLAREVO_Instrucoes_Projeto_Claude.txt nas instruções do projeto. Anexe este documento, CLAREVO_Primeiro_Ciclo_para_Claude.txt e o logo aprovado. A mensagem inicial pronta está no arquivo do primeiro ciclo.</w:t>
      </w:r>
    </w:p>
    <w:p>
      <w:pPr>
        <w:pStyle w:val="Heading2"/>
      </w:pPr>
      <w:r>
        <w:t>Ordem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784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Item</w:t>
            </w:r>
          </w:p>
        </w:tc>
        <w:tc>
          <w:tcPr>
            <w:tcW w:type="dxa" w:w="87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Entrega concreta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CL C001</w:t>
            </w:r>
          </w:p>
        </w:tc>
        <w:tc>
          <w:tcPr>
            <w:tcW w:type="dxa" w:w="87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Stack recomendada com fontes oficiais, projeto, tokens, esquema, autenticação e primeira conta persistida.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CL C002</w:t>
            </w:r>
          </w:p>
        </w:tc>
        <w:tc>
          <w:tcPr>
            <w:tcW w:type="dxa" w:w="87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Recebimento e gasto realizados com validação, idempotência, detalhe e persistência.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CL C003</w:t>
            </w:r>
          </w:p>
        </w:tc>
        <w:tc>
          <w:tcPr>
            <w:tcW w:type="dxa" w:w="87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Edição do mesmo ID, exclusão confirmada, versões e conflitos.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CL C004</w:t>
            </w:r>
          </w:p>
        </w:tc>
        <w:tc>
          <w:tcPr>
            <w:tcW w:type="dxa" w:w="87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Totais e composição por uma origem, contexto, situação e período.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CL C005</w:t>
            </w:r>
          </w:p>
        </w:tc>
        <w:tc>
          <w:tcPr>
            <w:tcW w:type="dxa" w:w="87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Rascunho preservado, estados vazios, falhas, educação e acessibilidade.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CL C006</w:t>
            </w:r>
          </w:p>
        </w:tc>
        <w:tc>
          <w:tcPr>
            <w:tcW w:type="dxa" w:w="87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Autorização por recurso e ação; licença empresarial separada de finanças.</w:t>
            </w:r>
          </w:p>
        </w:tc>
      </w:tr>
    </w:tbl>
    <w:p>
      <w:pPr>
        <w:spacing w:after="20"/>
      </w:pPr>
    </w:p>
    <w:p>
      <w:pPr>
        <w:pStyle w:val="Heading2"/>
      </w:pPr>
      <w:r>
        <w:t>Prova necessária para concluir o ciclo</w:t>
      </w:r>
    </w:p>
    <w:p>
      <w:r>
        <w:t>Entregar instruções de execução, migrações e testes realmente executados. Verificar persistência após reabrir o app, confirmação e recuperação reais, sessão expirada, repetição após timeout, edição concorrente e acesso indevido por ID. Reproduzir a sequência financeira da página anterior.</w:t>
      </w:r>
    </w:p>
    <w:p>
      <w:r>
        <w:t>Conferir no dispositivo escolhido, com teclado aberto, texto ampliado e redução de movimento. O protótipo deste planejamento não implementa autenticação real, backend, rede, persistência ou sincronização. Seus testes não comprovam essas partes da implementação.</w:t>
      </w:r>
    </w:p>
    <w:p>
      <w:pPr>
        <w:pStyle w:val="Heading2"/>
      </w:pPr>
      <w:r>
        <w:t>Próximos ciclos</w:t>
      </w:r>
    </w:p>
    <w:p>
      <w:r>
        <w:t>Seguir com compartilhamento familiar; compromissos, cartões e metas; benefício empresarial e comercialização. Educação acompanha cada tarefa. O painel empresarial administra o plano, sem acesso às finanças.</w:t>
      </w:r>
    </w:p>
    <w:p>
      <w:pPr>
        <w:pStyle w:val="Heading2"/>
      </w:pPr>
      <w:r>
        <w:t>Referências técnicas</w:t>
      </w:r>
    </w:p>
    <w:p>
      <w:r>
        <w:rPr>
          <w:sz w:val="19"/>
        </w:rPr>
        <w:t>[1] OWASP Authentication Cheat Sheet</w:t>
        <w:br/>
        <w:t>https://cheatsheetseries.owasp.org/cheatsheets/Authentication_Cheat_Sheet.html</w:t>
      </w:r>
    </w:p>
    <w:p>
      <w:r>
        <w:rPr>
          <w:sz w:val="19"/>
        </w:rPr>
        <w:t>[2] OWASP Authorization Cheat Sheet</w:t>
        <w:br/>
        <w:t>https://cheatsheetseries.owasp.org/cheatsheets/Authorization_Cheat_Sheet.html</w:t>
      </w:r>
    </w:p>
    <w:p>
      <w:r>
        <w:rPr>
          <w:sz w:val="19"/>
        </w:rPr>
        <w:t>Consultadas em 07/10/2026. As referências apoiam autenticação e autorização; a identidade, o modelo financeiro e a sequência de produto são propostas para o Clarevo.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Clarevo  |  Primeiro ciclo  |  07/10/2026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40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