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rFonts w:ascii="Libre Franklin" w:cs="Libre Franklin" w:eastAsia="Libre Franklin" w:hAnsi="Libre Franklin"/>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30"/>
          <w:szCs w:val="30"/>
          <w:u w:val="none"/>
          <w:shd w:fill="auto" w:val="clear"/>
          <w:vertAlign w:val="baseline"/>
          <w:rtl w:val="0"/>
        </w:rPr>
        <w:t xml:space="preserve">Requerimientos no funcionales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22"/>
          <w:szCs w:val="22"/>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22"/>
          <w:szCs w:val="22"/>
          <w:u w:val="none"/>
          <w:shd w:fill="auto" w:val="clear"/>
          <w:vertAlign w:val="baseline"/>
          <w:rtl w:val="0"/>
        </w:rPr>
        <w:t xml:space="preserve">Identificación: Nro Único</w:t>
      </w:r>
    </w:p>
    <w:p w:rsidR="00000000" w:rsidDel="00000000" w:rsidP="00000000" w:rsidRDefault="00000000" w:rsidRPr="00000000" w14:paraId="00000024">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5">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6">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7">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8">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9">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A">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B">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C">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D">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E">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2F">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0">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1">
      <w:pPr>
        <w:ind w:left="2700" w:firstLine="0"/>
        <w:rPr>
          <w:rFonts w:ascii="Libre Franklin" w:cs="Libre Franklin" w:eastAsia="Libre Franklin" w:hAnsi="Libre Franklin"/>
          <w:vertAlign w:val="baseline"/>
        </w:rPr>
      </w:pPr>
      <w:r w:rsidDel="00000000" w:rsidR="00000000" w:rsidRPr="00000000">
        <w:rPr>
          <w:rtl w:val="0"/>
        </w:rPr>
      </w:r>
    </w:p>
    <w:p w:rsidR="00000000" w:rsidDel="00000000" w:rsidP="00000000" w:rsidRDefault="00000000" w:rsidRPr="00000000" w14:paraId="00000032">
      <w:pPr>
        <w:ind w:left="2700" w:firstLine="0"/>
        <w:rPr>
          <w:rFonts w:ascii="Libre Franklin" w:cs="Libre Franklin" w:eastAsia="Libre Franklin" w:hAnsi="Libre Franklin"/>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3">
            <w:pPr>
              <w:jc w:val="center"/>
              <w:rPr>
                <w:rFonts w:ascii="Libre Franklin" w:cs="Libre Franklin" w:eastAsia="Libre Franklin" w:hAnsi="Libre Franklin"/>
                <w:vertAlign w:val="baseline"/>
              </w:rPr>
            </w:pPr>
            <w:r w:rsidDel="00000000" w:rsidR="00000000" w:rsidRPr="00000000">
              <w:rPr>
                <w:rFonts w:ascii="Libre Franklin" w:cs="Libre Franklin" w:eastAsia="Libre Franklin" w:hAnsi="Libre Franklin"/>
                <w:vertAlign w:val="baseline"/>
                <w:rtl w:val="0"/>
              </w:rPr>
              <w:br w:type="textWrapping"/>
            </w:r>
            <w:r w:rsidDel="00000000" w:rsidR="00000000" w:rsidRPr="00000000">
              <w:rPr/>
              <w:drawing>
                <wp:inline distB="0" distT="0" distL="0" distR="0">
                  <wp:extent cx="850000" cy="8500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50000" cy="85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4">
            <w:pPr>
              <w:jc w:val="center"/>
              <w:rPr>
                <w:rFonts w:ascii="Libre Franklin" w:cs="Libre Franklin" w:eastAsia="Libre Franklin" w:hAnsi="Libre Franklin"/>
                <w:vertAlign w:val="baseline"/>
              </w:rPr>
            </w:pPr>
            <w:r w:rsidDel="00000000" w:rsidR="00000000" w:rsidRPr="00000000">
              <w:rPr>
                <w:rtl w:val="0"/>
              </w:rPr>
            </w:r>
          </w:p>
        </w:tc>
        <w:tc>
          <w:tcPr/>
          <w:p w:rsidR="00000000" w:rsidDel="00000000" w:rsidP="00000000" w:rsidRDefault="00000000" w:rsidRPr="00000000" w14:paraId="00000035">
            <w:pPr>
              <w:jc w:val="right"/>
              <w:rPr>
                <w:rFonts w:ascii="Libre Franklin" w:cs="Libre Franklin" w:eastAsia="Libre Franklin" w:hAnsi="Libre Franklin"/>
                <w:color w:val="241a61"/>
                <w:sz w:val="18"/>
                <w:szCs w:val="18"/>
                <w:vertAlign w:val="baseline"/>
              </w:rPr>
            </w:pPr>
            <w:r w:rsidDel="00000000" w:rsidR="00000000" w:rsidRPr="00000000">
              <w:rPr>
                <w:rtl w:val="0"/>
              </w:rPr>
            </w:r>
          </w:p>
          <w:p w:rsidR="00000000" w:rsidDel="00000000" w:rsidP="00000000" w:rsidRDefault="00000000" w:rsidRPr="00000000" w14:paraId="00000036">
            <w:pPr>
              <w:jc w:val="right"/>
              <w:rPr>
                <w:rFonts w:ascii="Libre Franklin" w:cs="Libre Franklin" w:eastAsia="Libre Franklin" w:hAnsi="Libre Franklin"/>
                <w:color w:val="241a61"/>
                <w:sz w:val="18"/>
                <w:szCs w:val="18"/>
                <w:vertAlign w:val="baseline"/>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center"/>
        <w:rPr>
          <w:rFonts w:ascii="Helvetica Neue" w:cs="Helvetica Neue" w:eastAsia="Helvetica Neue" w:hAnsi="Helvetica Neue"/>
          <w:b w:val="0"/>
          <w:bCs w:val="0"/>
          <w:i w:val="0"/>
          <w:iCs w:val="0"/>
          <w:smallCaps w:val="0"/>
          <w:strike w:val="0"/>
          <w:color w:val="5e5e5e"/>
          <w:sz w:val="28"/>
          <w:szCs w:val="28"/>
          <w:u w:val="singl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e5e5e"/>
          <w:sz w:val="28"/>
          <w:szCs w:val="28"/>
          <w:u w:val="single"/>
          <w:shd w:fill="auto" w:val="clear"/>
          <w:vertAlign w:val="baseline"/>
          <w:rtl w:val="0"/>
        </w:rPr>
        <w:t xml:space="preserve">Requerimientos no funcionales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s>
        <w:spacing w:after="0" w:before="0" w:line="288" w:lineRule="auto"/>
        <w:ind w:left="0" w:right="0" w:firstLine="0"/>
        <w:jc w:val="center"/>
        <w:rPr>
          <w:rFonts w:ascii="Helvetica Neue" w:cs="Helvetica Neue" w:eastAsia="Helvetica Neue" w:hAnsi="Helvetica Neue"/>
          <w:color w:val="5e5e5e"/>
          <w:sz w:val="24"/>
          <w:szCs w:val="24"/>
          <w:u w:val="single"/>
        </w:rPr>
      </w:pPr>
      <w:r w:rsidDel="00000000" w:rsidR="00000000" w:rsidRPr="00000000">
        <w:rPr>
          <w:rtl w:val="0"/>
        </w:rPr>
      </w:r>
    </w:p>
    <w:p w:rsidR="00000000" w:rsidDel="00000000" w:rsidP="00000000" w:rsidRDefault="00000000" w:rsidRPr="00000000" w14:paraId="0000003A">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Seguridad, Roles y Autentificación</w:t>
      </w:r>
    </w:p>
    <w:p w:rsidR="00000000" w:rsidDel="00000000" w:rsidP="00000000" w:rsidRDefault="00000000" w:rsidRPr="00000000" w14:paraId="0000003B">
      <w:pPr>
        <w:numPr>
          <w:ilvl w:val="0"/>
          <w:numId w:val="2"/>
        </w:numPr>
        <w:spacing w:line="276" w:lineRule="auto"/>
        <w:ind w:left="425.19685039370063" w:hanging="425.19685039370097"/>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RNF01 – Identificación del usuario:</w:t>
      </w:r>
      <w:r w:rsidDel="00000000" w:rsidR="00000000" w:rsidRPr="00000000">
        <w:rPr>
          <w:rFonts w:ascii="Cambria" w:cs="Cambria" w:eastAsia="Cambria" w:hAnsi="Cambria"/>
          <w:sz w:val="22"/>
          <w:szCs w:val="22"/>
          <w:rtl w:val="0"/>
        </w:rPr>
        <w:t xml:space="preserve"> El sistema deberá garantizar que cada persona posea un único perfil de usuario.</w:t>
      </w:r>
      <w:r w:rsidDel="00000000" w:rsidR="00000000" w:rsidRPr="00000000">
        <w:rPr>
          <w:rtl w:val="0"/>
        </w:rPr>
      </w:r>
    </w:p>
    <w:p w:rsidR="00000000" w:rsidDel="00000000" w:rsidP="00000000" w:rsidRDefault="00000000" w:rsidRPr="00000000" w14:paraId="0000003C">
      <w:pPr>
        <w:numPr>
          <w:ilvl w:val="0"/>
          <w:numId w:val="2"/>
        </w:numPr>
        <w:spacing w:line="276" w:lineRule="auto"/>
        <w:ind w:left="425.19685039370063" w:hanging="425.19685039370097"/>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RNF02 – Identificación del dispositivo</w:t>
      </w:r>
      <w:r w:rsidDel="00000000" w:rsidR="00000000" w:rsidRPr="00000000">
        <w:rPr>
          <w:rFonts w:ascii="Cambria" w:cs="Cambria" w:eastAsia="Cambria" w:hAnsi="Cambria"/>
          <w:sz w:val="22"/>
          <w:szCs w:val="22"/>
          <w:rtl w:val="0"/>
        </w:rPr>
        <w:t xml:space="preserve">: El sistema deberá identificar el dispositivo desde el cual se realiza la conexión a la aplicación.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97"/>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RNF03 – Seguridad basada en roles:</w:t>
      </w:r>
      <w:r w:rsidDel="00000000" w:rsidR="00000000" w:rsidRPr="00000000">
        <w:rPr>
          <w:rFonts w:ascii="Cambria" w:cs="Cambria" w:eastAsia="Cambria" w:hAnsi="Cambria"/>
          <w:sz w:val="22"/>
          <w:szCs w:val="22"/>
          <w:rtl w:val="0"/>
        </w:rPr>
        <w:t xml:space="preserve"> El sistema implementará un control de acceso basado en roles. </w:t>
      </w:r>
    </w:p>
    <w:p w:rsidR="00000000" w:rsidDel="00000000" w:rsidP="00000000" w:rsidRDefault="00000000" w:rsidRPr="00000000" w14:paraId="0000003E">
      <w:pPr>
        <w:numPr>
          <w:ilvl w:val="0"/>
          <w:numId w:val="2"/>
        </w:numPr>
        <w:spacing w:line="276" w:lineRule="auto"/>
        <w:ind w:left="425.19685039370063" w:hanging="425.19685039370097"/>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Los choferes solo accederán a sus rutas asignadas. El personal administrativo se dividirá en sub-roles funcionales.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97"/>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RNF04 - Cifrado de contraseñas(Seguridad):</w:t>
      </w:r>
      <w:r w:rsidDel="00000000" w:rsidR="00000000" w:rsidRPr="00000000">
        <w:rPr>
          <w:rFonts w:ascii="Cambria" w:cs="Cambria" w:eastAsia="Cambria" w:hAnsi="Cambria"/>
          <w:sz w:val="22"/>
          <w:szCs w:val="22"/>
          <w:rtl w:val="0"/>
        </w:rPr>
        <w:t xml:space="preserve"> El sistema almacenará todas las contraseñas cifradas mediante algoritmos de hash seguros, impidiendo que sean visibles en texto plano. Ante olvidos o bloqueos en la ruta, el panel administrativo proveerá una función para restablecer manualmente la contraseña de un chofer en menos de 2 minutos para no detener la operación en la calle.</w:t>
      </w:r>
    </w:p>
    <w:p w:rsidR="00000000" w:rsidDel="00000000" w:rsidP="00000000" w:rsidRDefault="00000000" w:rsidRPr="00000000" w14:paraId="00000040">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RNF05 – Retención y Resguardo Legal de Datos: </w:t>
      </w:r>
      <w:r w:rsidDel="00000000" w:rsidR="00000000" w:rsidRPr="00000000">
        <w:rPr>
          <w:rFonts w:ascii="Cambria" w:cs="Cambria" w:eastAsia="Cambria" w:hAnsi="Cambria"/>
          <w:sz w:val="22"/>
          <w:szCs w:val="22"/>
          <w:rtl w:val="0"/>
        </w:rPr>
        <w:t xml:space="preserve">Las imágenes capturadas de los remitos en papel firmados se conservarán y permanecerán disponibles en los servidores por un plazo no menor a 5 años, satisfaciendo así los requerimientos normativos e impositivos aplicables a la documentación física.</w:t>
      </w:r>
      <w:r w:rsidDel="00000000" w:rsidR="00000000" w:rsidRPr="00000000">
        <w:rPr>
          <w:rtl w:val="0"/>
        </w:rPr>
      </w:r>
    </w:p>
    <w:p w:rsidR="00000000" w:rsidDel="00000000" w:rsidP="00000000" w:rsidRDefault="00000000" w:rsidRPr="00000000" w14:paraId="00000041">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RNF06 – Auditoría de Ajustes Manuales: </w:t>
      </w:r>
      <w:r w:rsidDel="00000000" w:rsidR="00000000" w:rsidRPr="00000000">
        <w:rPr>
          <w:rFonts w:ascii="Cambria" w:cs="Cambria" w:eastAsia="Cambria" w:hAnsi="Cambria"/>
          <w:sz w:val="22"/>
          <w:szCs w:val="22"/>
          <w:rtl w:val="0"/>
        </w:rPr>
        <w:t xml:space="preserve">El sistema deberá contar con un registro de auditoría inmutable para las correcciones de dinero o ajustes manuales realizados por el personal administrativo. Todo cambio deberá guardar registro del usuario que lo realizó, la fecha, la hora y el valor anterior, sin requerir un segundo nivel de autorización.</w:t>
      </w:r>
      <w:r w:rsidDel="00000000" w:rsidR="00000000" w:rsidRPr="00000000">
        <w:rPr>
          <w:rtl w:val="0"/>
        </w:rPr>
      </w:r>
    </w:p>
    <w:p w:rsidR="00000000" w:rsidDel="00000000" w:rsidP="00000000" w:rsidRDefault="00000000" w:rsidRPr="00000000" w14:paraId="00000042">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RNF07 – Simplicidad de Autenticación: </w:t>
      </w:r>
      <w:r w:rsidDel="00000000" w:rsidR="00000000" w:rsidRPr="00000000">
        <w:rPr>
          <w:rFonts w:ascii="Cambria" w:cs="Cambria" w:eastAsia="Cambria" w:hAnsi="Cambria"/>
          <w:sz w:val="22"/>
          <w:szCs w:val="22"/>
          <w:rtl w:val="0"/>
        </w:rPr>
        <w:t xml:space="preserve">La plataforma móvil ofrecerá un ingreso agilizado para el chofer, reduciendo la complejidad del acceso y previniendo interrupciones operativas por el olvido o bloqueo de credenciales en la vía pública.</w:t>
      </w:r>
      <w:r w:rsidDel="00000000" w:rsidR="00000000" w:rsidRPr="00000000">
        <w:rPr>
          <w:rtl w:val="0"/>
        </w:rPr>
      </w:r>
    </w:p>
    <w:p w:rsidR="00000000" w:rsidDel="00000000" w:rsidP="00000000" w:rsidRDefault="00000000" w:rsidRPr="00000000" w14:paraId="00000043">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Confiabilidad, Precisión e Integridad Financiera</w:t>
      </w:r>
    </w:p>
    <w:p w:rsidR="00000000" w:rsidDel="00000000" w:rsidP="00000000" w:rsidRDefault="00000000" w:rsidRPr="00000000" w14:paraId="00000044">
      <w:pPr>
        <w:numPr>
          <w:ilvl w:val="0"/>
          <w:numId w:val="3"/>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RNF08 – Precisión de los importes: </w:t>
      </w:r>
      <w:r w:rsidDel="00000000" w:rsidR="00000000" w:rsidRPr="00000000">
        <w:rPr>
          <w:rFonts w:ascii="Cambria" w:cs="Cambria" w:eastAsia="Cambria" w:hAnsi="Cambria"/>
          <w:sz w:val="22"/>
          <w:szCs w:val="22"/>
          <w:rtl w:val="0"/>
        </w:rPr>
        <w:t xml:space="preserve">El sistema deberá garantizar la precisión de los valores monetarios, evitando errores de redondeo derivados de la utilización de números de punto flotante. Para ello, deberá utilizar una representación adecuada de los importes, como valores enteros expresados en centavos.</w:t>
      </w:r>
      <w:r w:rsidDel="00000000" w:rsidR="00000000" w:rsidRPr="00000000">
        <w:rPr>
          <w:rtl w:val="0"/>
        </w:rPr>
      </w:r>
    </w:p>
    <w:p w:rsidR="00000000" w:rsidDel="00000000" w:rsidP="00000000" w:rsidRDefault="00000000" w:rsidRPr="00000000" w14:paraId="00000045">
      <w:pPr>
        <w:numPr>
          <w:ilvl w:val="0"/>
          <w:numId w:val="3"/>
        </w:numPr>
        <w:spacing w:line="276" w:lineRule="auto"/>
        <w:ind w:left="425.19685039370063"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RNF09 – Integridad de las transacciones: </w:t>
      </w:r>
      <w:r w:rsidDel="00000000" w:rsidR="00000000" w:rsidRPr="00000000">
        <w:rPr>
          <w:rFonts w:ascii="Cambria" w:cs="Cambria" w:eastAsia="Cambria" w:hAnsi="Cambria"/>
          <w:sz w:val="22"/>
          <w:szCs w:val="22"/>
          <w:rtl w:val="0"/>
        </w:rPr>
        <w:t xml:space="preserve">El sistema deberá garantizar la atomicidad de las operaciones relacionadas con la distribución de pagos. Si ocurre un error durante la asignación del dinero a los proveedores, la operación deberá revertirse completamente para evitar inconsistencias en los saldos.</w:t>
      </w:r>
      <w:r w:rsidDel="00000000" w:rsidR="00000000" w:rsidRPr="00000000">
        <w:rPr>
          <w:rtl w:val="0"/>
        </w:rPr>
      </w:r>
    </w:p>
    <w:p w:rsidR="00000000" w:rsidDel="00000000" w:rsidP="00000000" w:rsidRDefault="00000000" w:rsidRPr="00000000" w14:paraId="00000046">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Integración con Servicios Externos(APIs)</w:t>
      </w:r>
    </w:p>
    <w:p w:rsidR="00000000" w:rsidDel="00000000" w:rsidP="00000000" w:rsidRDefault="00000000" w:rsidRPr="00000000" w14:paraId="00000047">
      <w:pPr>
        <w:numPr>
          <w:ilvl w:val="0"/>
          <w:numId w:val="6"/>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RNF10 – Generación de códigos QR: </w:t>
      </w:r>
      <w:r w:rsidDel="00000000" w:rsidR="00000000" w:rsidRPr="00000000">
        <w:rPr>
          <w:rFonts w:ascii="Cambria" w:cs="Cambria" w:eastAsia="Cambria" w:hAnsi="Cambria"/>
          <w:sz w:val="22"/>
          <w:szCs w:val="22"/>
          <w:rtl w:val="0"/>
        </w:rPr>
        <w:t xml:space="preserve">El sistema deberá permitir la generación de códigos QR para realizar cobros mediante la integración con Mercado Pago.</w:t>
      </w:r>
      <w:r w:rsidDel="00000000" w:rsidR="00000000" w:rsidRPr="00000000">
        <w:rPr>
          <w:rtl w:val="0"/>
        </w:rPr>
      </w:r>
    </w:p>
    <w:p w:rsidR="00000000" w:rsidDel="00000000" w:rsidP="00000000" w:rsidRDefault="00000000" w:rsidRPr="00000000" w14:paraId="00000048">
      <w:pPr>
        <w:numPr>
          <w:ilvl w:val="0"/>
          <w:numId w:val="6"/>
        </w:numPr>
        <w:spacing w:line="276" w:lineRule="auto"/>
        <w:ind w:left="425.19685039370063"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RNF11 – Integración con billeteras virtuales: </w:t>
      </w:r>
      <w:r w:rsidDel="00000000" w:rsidR="00000000" w:rsidRPr="00000000">
        <w:rPr>
          <w:rFonts w:ascii="Cambria" w:cs="Cambria" w:eastAsia="Cambria" w:hAnsi="Cambria"/>
          <w:sz w:val="22"/>
          <w:szCs w:val="22"/>
          <w:rtl w:val="0"/>
        </w:rPr>
        <w:t xml:space="preserve">El sistema deberá integrarse mediante una API con una billetera virtual para gestionar los pagos electrónicos.</w:t>
      </w:r>
      <w:r w:rsidDel="00000000" w:rsidR="00000000" w:rsidRPr="00000000">
        <w:rPr>
          <w:rtl w:val="0"/>
        </w:rPr>
      </w:r>
    </w:p>
    <w:p w:rsidR="00000000" w:rsidDel="00000000" w:rsidP="00000000" w:rsidRDefault="00000000" w:rsidRPr="00000000" w14:paraId="00000049">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Capacidad, Rendimiento y Restricciones de Entorno</w:t>
      </w:r>
    </w:p>
    <w:p w:rsidR="00000000" w:rsidDel="00000000" w:rsidP="00000000" w:rsidRDefault="00000000" w:rsidRPr="00000000" w14:paraId="0000004A">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RNF12 – Capacidad: </w:t>
      </w:r>
      <w:r w:rsidDel="00000000" w:rsidR="00000000" w:rsidRPr="00000000">
        <w:rPr>
          <w:rFonts w:ascii="Cambria" w:cs="Cambria" w:eastAsia="Cambria" w:hAnsi="Cambria"/>
          <w:sz w:val="22"/>
          <w:szCs w:val="22"/>
          <w:rtl w:val="0"/>
        </w:rPr>
        <w:t xml:space="preserve">El sistema deberá soportar hasta 10.000 dispositivos conectados simultáneamente y estar optimizado a nivel de base de datos para procesar de forma fluida un volumen transaccional de hasta 14.000 entregas y 70.000 remitos diarios sin degradar su rendimiento.</w:t>
      </w:r>
      <w:r w:rsidDel="00000000" w:rsidR="00000000" w:rsidRPr="00000000">
        <w:rPr>
          <w:rtl w:val="0"/>
        </w:rPr>
      </w:r>
    </w:p>
    <w:p w:rsidR="00000000" w:rsidDel="00000000" w:rsidP="00000000" w:rsidRDefault="00000000" w:rsidRPr="00000000" w14:paraId="0000004B">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RNF13 – Funcionamiento sin conexión y sin bloqueos : </w:t>
      </w:r>
      <w:r w:rsidDel="00000000" w:rsidR="00000000" w:rsidRPr="00000000">
        <w:rPr>
          <w:rFonts w:ascii="Cambria" w:cs="Cambria" w:eastAsia="Cambria" w:hAnsi="Cambria"/>
          <w:sz w:val="22"/>
          <w:szCs w:val="22"/>
          <w:rtl w:val="0"/>
        </w:rPr>
        <w:t xml:space="preserve">La aplicación móvil permitirá registrar cobros de forma local (Offline-First) en los 35 partidos de GBA Sur. El registro de datos estará disponible las 24 horas, sin restricciones de franjas horarias por motivos de retrasos o seguridad. </w:t>
      </w:r>
      <w:r w:rsidDel="00000000" w:rsidR="00000000" w:rsidRPr="00000000">
        <w:rPr>
          <w:rtl w:val="0"/>
        </w:rPr>
      </w:r>
    </w:p>
    <w:p w:rsidR="00000000" w:rsidDel="00000000" w:rsidP="00000000" w:rsidRDefault="00000000" w:rsidRPr="00000000" w14:paraId="0000004C">
      <w:pPr>
        <w:numPr>
          <w:ilvl w:val="0"/>
          <w:numId w:val="1"/>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RNF14 – Escalabilidad: </w:t>
      </w:r>
      <w:r w:rsidDel="00000000" w:rsidR="00000000" w:rsidRPr="00000000">
        <w:rPr>
          <w:rFonts w:ascii="Cambria" w:cs="Cambria" w:eastAsia="Cambria" w:hAnsi="Cambria"/>
          <w:sz w:val="22"/>
          <w:szCs w:val="22"/>
          <w:rtl w:val="0"/>
        </w:rPr>
        <w:t xml:space="preserve">El sistema deberá estar diseñado de manera que permita incorporar nuevos comercios, camiones y choferes desde el panel administrativo sin requerir modificaciones significativas en el software.</w:t>
      </w:r>
      <w:r w:rsidDel="00000000" w:rsidR="00000000" w:rsidRPr="00000000">
        <w:rPr>
          <w:rtl w:val="0"/>
        </w:rPr>
      </w:r>
    </w:p>
    <w:p w:rsidR="00000000" w:rsidDel="00000000" w:rsidP="00000000" w:rsidRDefault="00000000" w:rsidRPr="00000000" w14:paraId="0000004D">
      <w:pPr>
        <w:numPr>
          <w:ilvl w:val="0"/>
          <w:numId w:val="1"/>
        </w:numPr>
        <w:spacing w:after="0" w:line="276" w:lineRule="auto"/>
        <w:ind w:left="425.19685039370063"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RNF15 - Formato Hoja de Ruta:</w:t>
      </w:r>
      <w:r w:rsidDel="00000000" w:rsidR="00000000" w:rsidRPr="00000000">
        <w:rPr>
          <w:rFonts w:ascii="Cambria" w:cs="Cambria" w:eastAsia="Cambria" w:hAnsi="Cambria"/>
          <w:sz w:val="22"/>
          <w:szCs w:val="22"/>
          <w:rtl w:val="0"/>
        </w:rPr>
        <w:t xml:space="preserve"> El sistema deberá procesar e importar archivos estructurados (Excel/CSV) provistos por las marcas con capacidad de cargar hasta 700 remitos en una sola operación en bloque. Asimismo, garantizará un mecanismo de contingencia para la carga o edición manual e individual de remitos para casos excepcionales.</w:t>
      </w:r>
      <w:r w:rsidDel="00000000" w:rsidR="00000000" w:rsidRPr="00000000">
        <w:rPr>
          <w:rtl w:val="0"/>
        </w:rPr>
      </w:r>
    </w:p>
    <w:p w:rsidR="00000000" w:rsidDel="00000000" w:rsidP="00000000" w:rsidRDefault="00000000" w:rsidRPr="00000000" w14:paraId="0000004E">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Mantenibilidad y Soporte Post-Venta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5.19685039370063" w:right="0"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RNF17 - Trazabilidad de Errores(Soporte Post-Venta): </w:t>
      </w:r>
      <w:r w:rsidDel="00000000" w:rsidR="00000000" w:rsidRPr="00000000">
        <w:rPr>
          <w:rFonts w:ascii="Cambria" w:cs="Cambria" w:eastAsia="Cambria" w:hAnsi="Cambria"/>
          <w:sz w:val="22"/>
          <w:szCs w:val="22"/>
          <w:rtl w:val="0"/>
        </w:rPr>
        <w:t xml:space="preserve">El sistema contará con un módulo centralizado de registro de eventos (Logs). En caso de detectarse un bug meses después del despliegue, el equipo técnico utilizará estos registros para identificar la falla sin poner en riesgo los datos históricos almacenados. </w:t>
      </w:r>
      <w:r w:rsidDel="00000000" w:rsidR="00000000" w:rsidRPr="00000000">
        <w:rPr>
          <w:rtl w:val="0"/>
        </w:rPr>
      </w:r>
    </w:p>
    <w:p w:rsidR="00000000" w:rsidDel="00000000" w:rsidP="00000000" w:rsidRDefault="00000000" w:rsidRPr="00000000" w14:paraId="00000050">
      <w:pPr>
        <w:numPr>
          <w:ilvl w:val="0"/>
          <w:numId w:val="5"/>
        </w:numPr>
        <w:spacing w:after="0" w:line="276" w:lineRule="auto"/>
        <w:ind w:left="283.46456692913375" w:hanging="855"/>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Portabilidad y Acceso a Hardware</w:t>
      </w:r>
    </w:p>
    <w:p w:rsidR="00000000" w:rsidDel="00000000" w:rsidP="00000000" w:rsidRDefault="00000000" w:rsidRPr="00000000" w14:paraId="00000051">
      <w:pPr>
        <w:numPr>
          <w:ilvl w:val="0"/>
          <w:numId w:val="4"/>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RNF18 –Plataforma Administrativa y Móvil : </w:t>
      </w:r>
      <w:r w:rsidDel="00000000" w:rsidR="00000000" w:rsidRPr="00000000">
        <w:rPr>
          <w:rFonts w:ascii="Cambria" w:cs="Cambria" w:eastAsia="Cambria" w:hAnsi="Cambria"/>
          <w:sz w:val="22"/>
          <w:szCs w:val="22"/>
          <w:rtl w:val="0"/>
        </w:rPr>
        <w:t xml:space="preserve">El sistema dispondrá de un panel web de escritorio para los administrativos (debido al alto volumen de datos) y de una aplicación móvil exclusiva para entornos android destinada a los transportistas. </w:t>
      </w:r>
      <w:r w:rsidDel="00000000" w:rsidR="00000000" w:rsidRPr="00000000">
        <w:rPr>
          <w:rtl w:val="0"/>
        </w:rPr>
      </w:r>
    </w:p>
    <w:p w:rsidR="00000000" w:rsidDel="00000000" w:rsidP="00000000" w:rsidRDefault="00000000" w:rsidRPr="00000000" w14:paraId="00000052">
      <w:pPr>
        <w:numPr>
          <w:ilvl w:val="0"/>
          <w:numId w:val="4"/>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RNF19 – Carga de imágenes documentales:</w:t>
      </w:r>
      <w:r w:rsidDel="00000000" w:rsidR="00000000" w:rsidRPr="00000000">
        <w:rPr>
          <w:rFonts w:ascii="Cambria" w:cs="Cambria" w:eastAsia="Cambria" w:hAnsi="Cambria"/>
          <w:sz w:val="22"/>
          <w:szCs w:val="22"/>
          <w:rtl w:val="0"/>
        </w:rPr>
        <w:t xml:space="preserve"> La aplicación móvil deberá permitir adjuntar fotografías de facturas, remitos firmados y documentación asociada. Para ello, el sistema deberá ofrecer al transportista la opción de seleccionar una imagen previamente guardada en el almacenamiento del dispositivo o invocar la aplicación de cámara nativa del sistema operativo para capturar una foto en el momento.</w:t>
      </w:r>
      <w:r w:rsidDel="00000000" w:rsidR="00000000" w:rsidRPr="00000000">
        <w:rPr>
          <w:rtl w:val="0"/>
        </w:rPr>
      </w:r>
    </w:p>
    <w:p w:rsidR="00000000" w:rsidDel="00000000" w:rsidP="00000000" w:rsidRDefault="00000000" w:rsidRPr="00000000" w14:paraId="00000053">
      <w:pPr>
        <w:numPr>
          <w:ilvl w:val="0"/>
          <w:numId w:val="4"/>
        </w:numPr>
        <w:spacing w:line="276" w:lineRule="auto"/>
        <w:ind w:left="425.19685039370063" w:hanging="425.19685039370063"/>
        <w:jc w:val="both"/>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RNF20 – Usabilidad y Accesibilidad en la Vía Pública: </w:t>
      </w:r>
      <w:r w:rsidDel="00000000" w:rsidR="00000000" w:rsidRPr="00000000">
        <w:rPr>
          <w:rFonts w:ascii="Cambria" w:cs="Cambria" w:eastAsia="Cambria" w:hAnsi="Cambria"/>
          <w:sz w:val="22"/>
          <w:szCs w:val="22"/>
          <w:rtl w:val="0"/>
        </w:rPr>
        <w:t xml:space="preserve">La interfaz móvil estará orientada a facilitar la operación en la intemperie, asegurando una lectura clara en situaciones de alta luminosidad solar. Se priorizará el contraste visual y la simplicidad funcional por encima de la identidad estética de la firma.</w:t>
      </w:r>
    </w:p>
    <w:p w:rsidR="00000000" w:rsidDel="00000000" w:rsidP="00000000" w:rsidRDefault="00000000" w:rsidRPr="00000000" w14:paraId="00000054">
      <w:pPr>
        <w:numPr>
          <w:ilvl w:val="0"/>
          <w:numId w:val="4"/>
        </w:numPr>
        <w:spacing w:line="276" w:lineRule="auto"/>
        <w:ind w:left="425.19599999999997"/>
        <w:jc w:val="both"/>
      </w:pPr>
      <w:r w:rsidDel="00000000" w:rsidR="00000000" w:rsidRPr="00000000">
        <w:rPr>
          <w:rFonts w:ascii="Cambria" w:cs="Cambria" w:eastAsia="Cambria" w:hAnsi="Cambria"/>
          <w:b w:val="1"/>
          <w:bCs w:val="1"/>
          <w:sz w:val="22"/>
          <w:szCs w:val="22"/>
          <w:rtl w:val="0"/>
        </w:rPr>
        <w:t xml:space="preserve">RNF21 – Rendimiento y Gestión de Recursos: </w:t>
      </w:r>
      <w:r w:rsidDel="00000000" w:rsidR="00000000" w:rsidRPr="00000000">
        <w:rPr>
          <w:rFonts w:ascii="Cambria" w:cs="Cambria" w:eastAsia="Cambria" w:hAnsi="Cambria"/>
          <w:sz w:val="22"/>
          <w:szCs w:val="22"/>
          <w:rtl w:val="0"/>
        </w:rPr>
        <w:t xml:space="preserve">La solución para smartphones minimizará el consumo de memoria RAM y capacidad de cómputo durante la captura fotográfica, garantizando una ejecución fluida incluso en teléfonos de prestaciones reducidas o modelos con varios años de uso.</w:t>
      </w:r>
      <w:r w:rsidDel="00000000" w:rsidR="00000000" w:rsidRPr="00000000">
        <w:rPr>
          <w:rtl w:val="0"/>
        </w:rPr>
      </w:r>
    </w:p>
    <w:sectPr>
      <w:headerReference r:id="rId9" w:type="first"/>
      <w:type w:val="nextPage"/>
      <w:pgSz w:h="16838" w:w="11906" w:orient="portrait"/>
      <w:pgMar w:bottom="1418" w:top="1418" w:left="1984.2519685039365"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63" w:hanging="425.1968503937009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83.46456692913375" w:hanging="85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425.19685039370063"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rFkAJpQVs3PTaLbZevAeRcpw==">CgMxLjA4AHIhMUFPUllsTmdfdWxFcDJaSU9tSF9TOC13eEI4Yk8tYVh1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