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rFonts w:ascii="Libre Franklin" w:cs="Libre Franklin" w:eastAsia="Libre Franklin" w:hAnsi="Libre Franklin"/>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bCs w:val="0"/>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right"/>
        <w:rPr>
          <w:rFonts w:ascii="Libre Franklin" w:cs="Libre Franklin" w:eastAsia="Libre Franklin" w:hAnsi="Libre Franklin"/>
          <w:b w:val="1"/>
          <w:bCs w:val="1"/>
          <w:i w:val="0"/>
          <w:iCs w:val="0"/>
          <w:smallCaps w:val="0"/>
          <w:strike w:val="0"/>
          <w:color w:val="5f5f5f"/>
          <w:sz w:val="30"/>
          <w:szCs w:val="3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5f5f5f"/>
          <w:sz w:val="30"/>
          <w:szCs w:val="30"/>
          <w:u w:val="none"/>
          <w:shd w:fill="auto" w:val="clear"/>
          <w:vertAlign w:val="baseline"/>
          <w:rtl w:val="0"/>
        </w:rPr>
        <w:t xml:space="preserve">Requerimientos no funcionales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right"/>
        <w:rPr>
          <w:rFonts w:ascii="Libre Franklin" w:cs="Libre Franklin" w:eastAsia="Libre Franklin" w:hAnsi="Libre Franklin"/>
          <w:b w:val="1"/>
          <w:bCs w:val="1"/>
          <w:i w:val="0"/>
          <w:iCs w:val="0"/>
          <w:smallCaps w:val="0"/>
          <w:strike w:val="0"/>
          <w:color w:val="5f5f5f"/>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5f5f5f"/>
          <w:sz w:val="22"/>
          <w:szCs w:val="22"/>
          <w:u w:val="none"/>
          <w:shd w:fill="auto" w:val="clear"/>
          <w:vertAlign w:val="baseline"/>
          <w:rtl w:val="0"/>
        </w:rPr>
        <w:t xml:space="preserve">Proyecto: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right"/>
        <w:rPr>
          <w:rFonts w:ascii="Libre Franklin" w:cs="Libre Franklin" w:eastAsia="Libre Franklin" w:hAnsi="Libre Franklin"/>
          <w:b w:val="1"/>
          <w:bCs w:val="1"/>
          <w:i w:val="0"/>
          <w:iCs w:val="0"/>
          <w:smallCaps w:val="0"/>
          <w:strike w:val="0"/>
          <w:color w:val="5f5f5f"/>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5f5f5f"/>
          <w:sz w:val="22"/>
          <w:szCs w:val="22"/>
          <w:u w:val="none"/>
          <w:shd w:fill="auto" w:val="clear"/>
          <w:vertAlign w:val="baseline"/>
          <w:rtl w:val="0"/>
        </w:rPr>
        <w:t xml:space="preserve">Identificación: Nro Único</w:t>
      </w:r>
    </w:p>
    <w:p w:rsidR="00000000" w:rsidDel="00000000" w:rsidP="00000000" w:rsidRDefault="00000000" w:rsidRPr="00000000" w14:paraId="00000024">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5">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6">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7">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8">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9">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A">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B">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C">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D">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E">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F">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30">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31">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32">
      <w:pPr>
        <w:ind w:left="2700" w:firstLine="0"/>
        <w:rPr>
          <w:rFonts w:ascii="Libre Franklin" w:cs="Libre Franklin" w:eastAsia="Libre Franklin" w:hAnsi="Libre Franklin"/>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3">
            <w:pPr>
              <w:jc w:val="center"/>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br w:type="textWrapping"/>
            </w:r>
            <w:r w:rsidDel="00000000" w:rsidR="00000000" w:rsidRPr="00000000">
              <w:rPr>
                <w:rFonts w:ascii="Libre Franklin" w:cs="Libre Franklin" w:eastAsia="Libre Franklin" w:hAnsi="Libre Franklin"/>
              </w:rPr>
              <w:drawing>
                <wp:inline distB="114300" distT="114300" distL="114300" distR="114300">
                  <wp:extent cx="1239203" cy="873074"/>
                  <wp:effectExtent b="0" l="0" r="0" t="0"/>
                  <wp:docPr id="1" name="image2.jpg"/>
                  <a:graphic>
                    <a:graphicData uri="http://schemas.openxmlformats.org/drawingml/2006/picture">
                      <pic:pic>
                        <pic:nvPicPr>
                          <pic:cNvPr id="0" name="image2.jpg"/>
                          <pic:cNvPicPr preferRelativeResize="0"/>
                        </pic:nvPicPr>
                        <pic:blipFill>
                          <a:blip r:embed="rId6"/>
                          <a:srcRect b="8566" l="12576" r="0" t="0"/>
                          <a:stretch>
                            <a:fillRect/>
                          </a:stretch>
                        </pic:blipFill>
                        <pic:spPr>
                          <a:xfrm>
                            <a:off x="0" y="0"/>
                            <a:ext cx="1239203" cy="87307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4">
            <w:pPr>
              <w:jc w:val="center"/>
              <w:rPr>
                <w:rFonts w:ascii="Libre Franklin" w:cs="Libre Franklin" w:eastAsia="Libre Franklin" w:hAnsi="Libre Franklin"/>
                <w:vertAlign w:val="baseline"/>
              </w:rPr>
            </w:pPr>
            <w:r w:rsidDel="00000000" w:rsidR="00000000" w:rsidRPr="00000000">
              <w:rPr>
                <w:rtl w:val="0"/>
              </w:rPr>
            </w:r>
          </w:p>
        </w:tc>
        <w:tc>
          <w:tcPr/>
          <w:p w:rsidR="00000000" w:rsidDel="00000000" w:rsidP="00000000" w:rsidRDefault="00000000" w:rsidRPr="00000000" w14:paraId="00000035">
            <w:pPr>
              <w:jc w:val="right"/>
              <w:rPr>
                <w:rFonts w:ascii="Libre Franklin" w:cs="Libre Franklin" w:eastAsia="Libre Franklin" w:hAnsi="Libre Franklin"/>
                <w:color w:val="241a61"/>
                <w:sz w:val="18"/>
                <w:szCs w:val="18"/>
                <w:vertAlign w:val="baseline"/>
              </w:rPr>
            </w:pPr>
            <w:r w:rsidDel="00000000" w:rsidR="00000000" w:rsidRPr="00000000">
              <w:rPr>
                <w:rtl w:val="0"/>
              </w:rPr>
            </w:r>
          </w:p>
          <w:p w:rsidR="00000000" w:rsidDel="00000000" w:rsidP="00000000" w:rsidRDefault="00000000" w:rsidRPr="00000000" w14:paraId="00000036">
            <w:pPr>
              <w:jc w:val="right"/>
              <w:rPr>
                <w:rFonts w:ascii="Libre Franklin" w:cs="Libre Franklin" w:eastAsia="Libre Franklin" w:hAnsi="Libre Franklin"/>
                <w:color w:val="241a61"/>
                <w:sz w:val="18"/>
                <w:szCs w:val="18"/>
                <w:vertAlign w:val="baseline"/>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7" w:type="first"/>
          <w:pgSz w:h="16838" w:w="11906" w:orient="portrait"/>
          <w:pgMar w:bottom="1417" w:top="1417" w:left="1701" w:right="1701" w:header="708" w:footer="708"/>
          <w:pgNumType w:start="1"/>
          <w:titlePg w:val="1"/>
        </w:sect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center"/>
        <w:rPr>
          <w:rFonts w:ascii="Helvetica Neue" w:cs="Helvetica Neue" w:eastAsia="Helvetica Neue" w:hAnsi="Helvetica Neue"/>
          <w:b w:val="0"/>
          <w:bCs w:val="0"/>
          <w:i w:val="0"/>
          <w:iCs w:val="0"/>
          <w:smallCaps w:val="0"/>
          <w:strike w:val="0"/>
          <w:color w:val="5e5e5e"/>
          <w:sz w:val="28"/>
          <w:szCs w:val="28"/>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28"/>
          <w:szCs w:val="28"/>
          <w:u w:val="single"/>
          <w:shd w:fill="auto" w:val="clear"/>
          <w:vertAlign w:val="baseline"/>
          <w:rtl w:val="0"/>
        </w:rPr>
        <w:t xml:space="preserve">Requerimientos no funcionales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center"/>
        <w:rPr>
          <w:rFonts w:ascii="Helvetica Neue" w:cs="Helvetica Neue" w:eastAsia="Helvetica Neue" w:hAnsi="Helvetica Neue"/>
          <w:color w:val="5e5e5e"/>
          <w:sz w:val="24"/>
          <w:szCs w:val="24"/>
          <w:u w:val="single"/>
        </w:rPr>
      </w:pPr>
      <w:r w:rsidDel="00000000" w:rsidR="00000000" w:rsidRPr="00000000">
        <w:rPr>
          <w:rtl w:val="0"/>
        </w:rPr>
      </w:r>
    </w:p>
    <w:p w:rsidR="00000000" w:rsidDel="00000000" w:rsidP="00000000" w:rsidRDefault="00000000" w:rsidRPr="00000000" w14:paraId="0000003A">
      <w:pPr>
        <w:numPr>
          <w:ilvl w:val="0"/>
          <w:numId w:val="5"/>
        </w:numPr>
        <w:spacing w:after="0" w:afterAutospacing="0" w:line="276" w:lineRule="auto"/>
        <w:ind w:left="283.46456692913375" w:hanging="855"/>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Seguridad, Roles y Autentificación</w:t>
      </w:r>
    </w:p>
    <w:p w:rsidR="00000000" w:rsidDel="00000000" w:rsidP="00000000" w:rsidRDefault="00000000" w:rsidRPr="00000000" w14:paraId="0000003B">
      <w:pPr>
        <w:numPr>
          <w:ilvl w:val="0"/>
          <w:numId w:val="2"/>
        </w:numPr>
        <w:spacing w:line="276" w:lineRule="auto"/>
        <w:ind w:left="425.19685039370063" w:hanging="425.19685039370097"/>
        <w:jc w:val="both"/>
        <w:rPr>
          <w:rFonts w:ascii="Cambria" w:cs="Cambria" w:eastAsia="Cambria" w:hAnsi="Cambria"/>
          <w:sz w:val="22"/>
          <w:szCs w:val="22"/>
          <w:u w:val="none"/>
        </w:rPr>
      </w:pPr>
      <w:r w:rsidDel="00000000" w:rsidR="00000000" w:rsidRPr="00000000">
        <w:rPr>
          <w:rFonts w:ascii="Cambria" w:cs="Cambria" w:eastAsia="Cambria" w:hAnsi="Cambria"/>
          <w:b w:val="1"/>
          <w:bCs w:val="1"/>
          <w:sz w:val="22"/>
          <w:szCs w:val="22"/>
          <w:rtl w:val="0"/>
        </w:rPr>
        <w:t xml:space="preserve">RNF01 – Identificación del usuario:</w:t>
      </w:r>
      <w:r w:rsidDel="00000000" w:rsidR="00000000" w:rsidRPr="00000000">
        <w:rPr>
          <w:rFonts w:ascii="Cambria" w:cs="Cambria" w:eastAsia="Cambria" w:hAnsi="Cambria"/>
          <w:sz w:val="22"/>
          <w:szCs w:val="22"/>
          <w:rtl w:val="0"/>
        </w:rPr>
        <w:t xml:space="preserve"> El sistema deberá garantizar que cada persona posea un único perfil de usuario, identificado mediante su DNI.</w:t>
      </w:r>
    </w:p>
    <w:p w:rsidR="00000000" w:rsidDel="00000000" w:rsidP="00000000" w:rsidRDefault="00000000" w:rsidRPr="00000000" w14:paraId="0000003C">
      <w:pPr>
        <w:numPr>
          <w:ilvl w:val="0"/>
          <w:numId w:val="2"/>
        </w:numPr>
        <w:spacing w:line="276" w:lineRule="auto"/>
        <w:ind w:left="425.19685039370063" w:hanging="425.19685039370097"/>
        <w:jc w:val="both"/>
        <w:rPr>
          <w:rFonts w:ascii="Cambria" w:cs="Cambria" w:eastAsia="Cambria" w:hAnsi="Cambria"/>
          <w:sz w:val="22"/>
          <w:szCs w:val="22"/>
          <w:u w:val="none"/>
        </w:rPr>
      </w:pPr>
      <w:r w:rsidDel="00000000" w:rsidR="00000000" w:rsidRPr="00000000">
        <w:rPr>
          <w:rFonts w:ascii="Cambria" w:cs="Cambria" w:eastAsia="Cambria" w:hAnsi="Cambria"/>
          <w:b w:val="1"/>
          <w:bCs w:val="1"/>
          <w:sz w:val="22"/>
          <w:szCs w:val="22"/>
          <w:rtl w:val="0"/>
        </w:rPr>
        <w:t xml:space="preserve">RNF02 – Identificación del dispositivo</w:t>
      </w:r>
      <w:r w:rsidDel="00000000" w:rsidR="00000000" w:rsidRPr="00000000">
        <w:rPr>
          <w:rFonts w:ascii="Cambria" w:cs="Cambria" w:eastAsia="Cambria" w:hAnsi="Cambria"/>
          <w:sz w:val="22"/>
          <w:szCs w:val="22"/>
          <w:rtl w:val="0"/>
        </w:rPr>
        <w:t xml:space="preserve">: El sistema deberá identificar el dispositivo desde el cual se realiza la conexión a la aplicación.</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63" w:right="0" w:hanging="425.19685039370097"/>
        <w:jc w:val="both"/>
        <w:rPr>
          <w:rFonts w:ascii="Cambria" w:cs="Cambria" w:eastAsia="Cambria" w:hAnsi="Cambria"/>
          <w:sz w:val="22"/>
          <w:szCs w:val="22"/>
          <w:u w:val="none"/>
        </w:rPr>
      </w:pPr>
      <w:r w:rsidDel="00000000" w:rsidR="00000000" w:rsidRPr="00000000">
        <w:rPr>
          <w:rFonts w:ascii="Cambria" w:cs="Cambria" w:eastAsia="Cambria" w:hAnsi="Cambria"/>
          <w:b w:val="1"/>
          <w:bCs w:val="1"/>
          <w:sz w:val="22"/>
          <w:szCs w:val="22"/>
          <w:rtl w:val="0"/>
        </w:rPr>
        <w:t xml:space="preserve">RNF03 – Seguridad basada en roles:</w:t>
      </w:r>
      <w:r w:rsidDel="00000000" w:rsidR="00000000" w:rsidRPr="00000000">
        <w:rPr>
          <w:rFonts w:ascii="Cambria" w:cs="Cambria" w:eastAsia="Cambria" w:hAnsi="Cambria"/>
          <w:sz w:val="22"/>
          <w:szCs w:val="22"/>
          <w:rtl w:val="0"/>
        </w:rPr>
        <w:t xml:space="preserve"> El sistema implementará un control de acceso basado en roles. Los choferes solo accederán a sus rutas asignadas. El personal administrativo se dividirá en sub-roles funcionales, permitiendo restringir de forma selectiva que ciertos usuarios validen cobros y otros gestionen las rutas.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63" w:right="0" w:hanging="425.19685039370097"/>
        <w:jc w:val="both"/>
        <w:rPr>
          <w:rFonts w:ascii="Cambria" w:cs="Cambria" w:eastAsia="Cambria" w:hAnsi="Cambria"/>
          <w:sz w:val="22"/>
          <w:szCs w:val="22"/>
          <w:u w:val="none"/>
        </w:rPr>
      </w:pPr>
      <w:r w:rsidDel="00000000" w:rsidR="00000000" w:rsidRPr="00000000">
        <w:rPr>
          <w:rFonts w:ascii="Cambria" w:cs="Cambria" w:eastAsia="Cambria" w:hAnsi="Cambria"/>
          <w:b w:val="1"/>
          <w:bCs w:val="1"/>
          <w:sz w:val="22"/>
          <w:szCs w:val="22"/>
          <w:rtl w:val="0"/>
        </w:rPr>
        <w:t xml:space="preserve">RNF04 - Cifrado de contraseñas(Seguridad):</w:t>
      </w:r>
      <w:r w:rsidDel="00000000" w:rsidR="00000000" w:rsidRPr="00000000">
        <w:rPr>
          <w:rFonts w:ascii="Cambria" w:cs="Cambria" w:eastAsia="Cambria" w:hAnsi="Cambria"/>
          <w:sz w:val="22"/>
          <w:szCs w:val="22"/>
          <w:rtl w:val="0"/>
        </w:rPr>
        <w:t xml:space="preserve"> El sistema almacenará todas las contraseñas cifradas mediante algoritmos de hash seguros, impidiendo que sean visibles en texto plano. Ante olvidos o bloqueos en la ruta, el panel administrativo proveerá una función para restablecer manualmente la contraseña de un chofer en menos de 2 minutos para no detener la operación en la calle.</w:t>
      </w:r>
    </w:p>
    <w:p w:rsidR="00000000" w:rsidDel="00000000" w:rsidP="00000000" w:rsidRDefault="00000000" w:rsidRPr="00000000" w14:paraId="0000003F">
      <w:pPr>
        <w:numPr>
          <w:ilvl w:val="0"/>
          <w:numId w:val="5"/>
        </w:numPr>
        <w:spacing w:after="0" w:afterAutospacing="0" w:line="276" w:lineRule="auto"/>
        <w:ind w:left="283.46456692913375" w:hanging="855"/>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Confiabilidad, Precisión e Integridad Financiera</w:t>
      </w:r>
    </w:p>
    <w:p w:rsidR="00000000" w:rsidDel="00000000" w:rsidP="00000000" w:rsidRDefault="00000000" w:rsidRPr="00000000" w14:paraId="00000040">
      <w:pPr>
        <w:numPr>
          <w:ilvl w:val="0"/>
          <w:numId w:val="3"/>
        </w:numPr>
        <w:spacing w:line="276" w:lineRule="auto"/>
        <w:ind w:left="425.19685039370063" w:hanging="425.19685039370063"/>
        <w:jc w:val="both"/>
        <w:rPr>
          <w:rFonts w:ascii="Cambria" w:cs="Cambria" w:eastAsia="Cambria" w:hAnsi="Cambria"/>
          <w:sz w:val="22"/>
          <w:szCs w:val="22"/>
          <w:u w:val="none"/>
        </w:rPr>
      </w:pPr>
      <w:r w:rsidDel="00000000" w:rsidR="00000000" w:rsidRPr="00000000">
        <w:rPr>
          <w:rFonts w:ascii="Cambria" w:cs="Cambria" w:eastAsia="Cambria" w:hAnsi="Cambria"/>
          <w:b w:val="1"/>
          <w:bCs w:val="1"/>
          <w:sz w:val="22"/>
          <w:szCs w:val="22"/>
          <w:rtl w:val="0"/>
        </w:rPr>
        <w:t xml:space="preserve">RNF05 – Precisión de los importes: </w:t>
      </w:r>
      <w:r w:rsidDel="00000000" w:rsidR="00000000" w:rsidRPr="00000000">
        <w:rPr>
          <w:rFonts w:ascii="Cambria" w:cs="Cambria" w:eastAsia="Cambria" w:hAnsi="Cambria"/>
          <w:sz w:val="22"/>
          <w:szCs w:val="22"/>
          <w:rtl w:val="0"/>
        </w:rPr>
        <w:t xml:space="preserve">El sistema deberá garantizar la precisión de los valores monetarios, evitando errores de redondeo derivados de la utilización de números de punto flotante. Para ello, deberá utilizar una representación adecuada de los importes, como valores enteros expresados en centavos.</w:t>
      </w:r>
    </w:p>
    <w:p w:rsidR="00000000" w:rsidDel="00000000" w:rsidP="00000000" w:rsidRDefault="00000000" w:rsidRPr="00000000" w14:paraId="00000041">
      <w:pPr>
        <w:numPr>
          <w:ilvl w:val="0"/>
          <w:numId w:val="3"/>
        </w:numPr>
        <w:spacing w:line="276" w:lineRule="auto"/>
        <w:ind w:left="425.19685039370063" w:hanging="425.19685039370063"/>
        <w:jc w:val="both"/>
        <w:rPr>
          <w:rFonts w:ascii="Cambria" w:cs="Cambria" w:eastAsia="Cambria" w:hAnsi="Cambria"/>
          <w:sz w:val="22"/>
          <w:szCs w:val="22"/>
          <w:u w:val="none"/>
        </w:rPr>
      </w:pPr>
      <w:r w:rsidDel="00000000" w:rsidR="00000000" w:rsidRPr="00000000">
        <w:rPr>
          <w:rFonts w:ascii="Cambria" w:cs="Cambria" w:eastAsia="Cambria" w:hAnsi="Cambria"/>
          <w:b w:val="1"/>
          <w:bCs w:val="1"/>
          <w:sz w:val="22"/>
          <w:szCs w:val="22"/>
          <w:rtl w:val="0"/>
        </w:rPr>
        <w:t xml:space="preserve">RNF06 – Integridad de las transacciones: </w:t>
      </w:r>
      <w:r w:rsidDel="00000000" w:rsidR="00000000" w:rsidRPr="00000000">
        <w:rPr>
          <w:rFonts w:ascii="Cambria" w:cs="Cambria" w:eastAsia="Cambria" w:hAnsi="Cambria"/>
          <w:sz w:val="22"/>
          <w:szCs w:val="22"/>
          <w:rtl w:val="0"/>
        </w:rPr>
        <w:t xml:space="preserve">El sistema deberá garantizar la atomicidad de las operaciones relacionadas con la distribución de pagos. Si ocurre un error durante la asignación del dinero a los proveedores, la operación deberá revertirse completamente para evitar inconsistencias en los saldos.</w:t>
      </w:r>
    </w:p>
    <w:p w:rsidR="00000000" w:rsidDel="00000000" w:rsidP="00000000" w:rsidRDefault="00000000" w:rsidRPr="00000000" w14:paraId="00000042">
      <w:pPr>
        <w:numPr>
          <w:ilvl w:val="0"/>
          <w:numId w:val="5"/>
        </w:numPr>
        <w:spacing w:after="0" w:afterAutospacing="0" w:line="276" w:lineRule="auto"/>
        <w:ind w:left="283.46456692913375" w:hanging="855"/>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Integración con Servicios Externos(APIs)</w:t>
      </w:r>
    </w:p>
    <w:p w:rsidR="00000000" w:rsidDel="00000000" w:rsidP="00000000" w:rsidRDefault="00000000" w:rsidRPr="00000000" w14:paraId="00000043">
      <w:pPr>
        <w:numPr>
          <w:ilvl w:val="0"/>
          <w:numId w:val="6"/>
        </w:numPr>
        <w:spacing w:line="276" w:lineRule="auto"/>
        <w:ind w:left="425.19685039370063" w:hanging="425.19685039370063"/>
        <w:jc w:val="both"/>
        <w:rPr>
          <w:rFonts w:ascii="Cambria" w:cs="Cambria" w:eastAsia="Cambria" w:hAnsi="Cambria"/>
          <w:sz w:val="22"/>
          <w:szCs w:val="22"/>
          <w:u w:val="none"/>
        </w:rPr>
      </w:pPr>
      <w:r w:rsidDel="00000000" w:rsidR="00000000" w:rsidRPr="00000000">
        <w:rPr>
          <w:rFonts w:ascii="Cambria" w:cs="Cambria" w:eastAsia="Cambria" w:hAnsi="Cambria"/>
          <w:b w:val="1"/>
          <w:bCs w:val="1"/>
          <w:sz w:val="22"/>
          <w:szCs w:val="22"/>
          <w:rtl w:val="0"/>
        </w:rPr>
        <w:t xml:space="preserve">RNF07 – Generación de códigos QR: </w:t>
      </w:r>
      <w:r w:rsidDel="00000000" w:rsidR="00000000" w:rsidRPr="00000000">
        <w:rPr>
          <w:rFonts w:ascii="Cambria" w:cs="Cambria" w:eastAsia="Cambria" w:hAnsi="Cambria"/>
          <w:sz w:val="22"/>
          <w:szCs w:val="22"/>
          <w:rtl w:val="0"/>
        </w:rPr>
        <w:t xml:space="preserve">El sistema deberá permitir la generación de códigos QR para realizar cobros mediante la integración con Mercado Pago.</w:t>
      </w:r>
    </w:p>
    <w:p w:rsidR="00000000" w:rsidDel="00000000" w:rsidP="00000000" w:rsidRDefault="00000000" w:rsidRPr="00000000" w14:paraId="00000044">
      <w:pPr>
        <w:numPr>
          <w:ilvl w:val="0"/>
          <w:numId w:val="6"/>
        </w:numPr>
        <w:spacing w:line="276" w:lineRule="auto"/>
        <w:ind w:left="425.19685039370063" w:hanging="425.19685039370063"/>
        <w:jc w:val="both"/>
        <w:rPr>
          <w:rFonts w:ascii="Cambria" w:cs="Cambria" w:eastAsia="Cambria" w:hAnsi="Cambria"/>
          <w:sz w:val="22"/>
          <w:szCs w:val="22"/>
          <w:u w:val="none"/>
        </w:rPr>
      </w:pPr>
      <w:r w:rsidDel="00000000" w:rsidR="00000000" w:rsidRPr="00000000">
        <w:rPr>
          <w:rFonts w:ascii="Cambria" w:cs="Cambria" w:eastAsia="Cambria" w:hAnsi="Cambria"/>
          <w:b w:val="1"/>
          <w:bCs w:val="1"/>
          <w:sz w:val="22"/>
          <w:szCs w:val="22"/>
          <w:rtl w:val="0"/>
        </w:rPr>
        <w:t xml:space="preserve">RNF08 – Integración con billeteras virtuales: </w:t>
      </w:r>
      <w:r w:rsidDel="00000000" w:rsidR="00000000" w:rsidRPr="00000000">
        <w:rPr>
          <w:rFonts w:ascii="Cambria" w:cs="Cambria" w:eastAsia="Cambria" w:hAnsi="Cambria"/>
          <w:sz w:val="22"/>
          <w:szCs w:val="22"/>
          <w:rtl w:val="0"/>
        </w:rPr>
        <w:t xml:space="preserve">El sistema deberá integrarse mediante una API con una billetera virtual para gestionar los pagos electrónicos.</w:t>
      </w:r>
      <w:r w:rsidDel="00000000" w:rsidR="00000000" w:rsidRPr="00000000">
        <w:rPr>
          <w:rtl w:val="0"/>
        </w:rPr>
      </w:r>
    </w:p>
    <w:p w:rsidR="00000000" w:rsidDel="00000000" w:rsidP="00000000" w:rsidRDefault="00000000" w:rsidRPr="00000000" w14:paraId="00000045">
      <w:pPr>
        <w:numPr>
          <w:ilvl w:val="0"/>
          <w:numId w:val="5"/>
        </w:numPr>
        <w:spacing w:after="0" w:afterAutospacing="0" w:line="276" w:lineRule="auto"/>
        <w:ind w:left="283.46456692913375" w:hanging="855"/>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Capacidad, Rendimiento y Restricciones de Entorno</w:t>
      </w:r>
    </w:p>
    <w:p w:rsidR="00000000" w:rsidDel="00000000" w:rsidP="00000000" w:rsidRDefault="00000000" w:rsidRPr="00000000" w14:paraId="00000046">
      <w:pPr>
        <w:numPr>
          <w:ilvl w:val="0"/>
          <w:numId w:val="1"/>
        </w:numPr>
        <w:spacing w:line="276" w:lineRule="auto"/>
        <w:ind w:left="425.19685039370063" w:hanging="425.19685039370063"/>
        <w:jc w:val="both"/>
        <w:rPr>
          <w:rFonts w:ascii="Cambria" w:cs="Cambria" w:eastAsia="Cambria" w:hAnsi="Cambria"/>
          <w:sz w:val="22"/>
          <w:szCs w:val="22"/>
          <w:u w:val="none"/>
        </w:rPr>
      </w:pPr>
      <w:r w:rsidDel="00000000" w:rsidR="00000000" w:rsidRPr="00000000">
        <w:rPr>
          <w:rFonts w:ascii="Cambria" w:cs="Cambria" w:eastAsia="Cambria" w:hAnsi="Cambria"/>
          <w:b w:val="1"/>
          <w:bCs w:val="1"/>
          <w:sz w:val="22"/>
          <w:szCs w:val="22"/>
          <w:rtl w:val="0"/>
        </w:rPr>
        <w:t xml:space="preserve">RNF09 – Capacidad: </w:t>
      </w:r>
      <w:r w:rsidDel="00000000" w:rsidR="00000000" w:rsidRPr="00000000">
        <w:rPr>
          <w:rFonts w:ascii="Cambria" w:cs="Cambria" w:eastAsia="Cambria" w:hAnsi="Cambria"/>
          <w:sz w:val="22"/>
          <w:szCs w:val="22"/>
          <w:rtl w:val="0"/>
        </w:rPr>
        <w:t xml:space="preserve">El sistema deberá soportar hasta 10.000 dispositivos conectados simultáneamente y estar optimizado a nivel de base de datos para procesar de forma fluida un volumen transaccional de hasta 14.000 entregas y 70.000 remitos diarios sin degradar su rendimiento.</w:t>
      </w:r>
      <w:r w:rsidDel="00000000" w:rsidR="00000000" w:rsidRPr="00000000">
        <w:rPr>
          <w:rtl w:val="0"/>
        </w:rPr>
      </w:r>
    </w:p>
    <w:p w:rsidR="00000000" w:rsidDel="00000000" w:rsidP="00000000" w:rsidRDefault="00000000" w:rsidRPr="00000000" w14:paraId="00000047">
      <w:pPr>
        <w:numPr>
          <w:ilvl w:val="0"/>
          <w:numId w:val="1"/>
        </w:numPr>
        <w:spacing w:line="276" w:lineRule="auto"/>
        <w:ind w:left="425.19685039370063" w:hanging="425.19685039370063"/>
        <w:jc w:val="both"/>
        <w:rPr>
          <w:rFonts w:ascii="Cambria" w:cs="Cambria" w:eastAsia="Cambria" w:hAnsi="Cambria"/>
          <w:sz w:val="22"/>
          <w:szCs w:val="22"/>
          <w:u w:val="none"/>
        </w:rPr>
      </w:pPr>
      <w:r w:rsidDel="00000000" w:rsidR="00000000" w:rsidRPr="00000000">
        <w:rPr>
          <w:rFonts w:ascii="Cambria" w:cs="Cambria" w:eastAsia="Cambria" w:hAnsi="Cambria"/>
          <w:b w:val="1"/>
          <w:bCs w:val="1"/>
          <w:sz w:val="22"/>
          <w:szCs w:val="22"/>
          <w:rtl w:val="0"/>
        </w:rPr>
        <w:t xml:space="preserve">RNF10 – Funcionamiento sin conexión y sin bloqueos : </w:t>
      </w:r>
      <w:r w:rsidDel="00000000" w:rsidR="00000000" w:rsidRPr="00000000">
        <w:rPr>
          <w:rFonts w:ascii="Cambria" w:cs="Cambria" w:eastAsia="Cambria" w:hAnsi="Cambria"/>
          <w:sz w:val="22"/>
          <w:szCs w:val="22"/>
          <w:rtl w:val="0"/>
        </w:rPr>
        <w:t xml:space="preserve">La aplicación móvil permitirá registrar cobros de forma local (Offline-First) en los 35 partidos de GBA Sur. El registro de datos estará disponible las 24 horas, sin restricciones de franjas horarias por motivos de retrasos o seguridad. </w:t>
      </w:r>
    </w:p>
    <w:p w:rsidR="00000000" w:rsidDel="00000000" w:rsidP="00000000" w:rsidRDefault="00000000" w:rsidRPr="00000000" w14:paraId="00000048">
      <w:pPr>
        <w:numPr>
          <w:ilvl w:val="0"/>
          <w:numId w:val="1"/>
        </w:numPr>
        <w:spacing w:line="276" w:lineRule="auto"/>
        <w:ind w:left="425.19685039370063" w:hanging="425.19685039370063"/>
        <w:jc w:val="both"/>
        <w:rPr>
          <w:rFonts w:ascii="Cambria" w:cs="Cambria" w:eastAsia="Cambria" w:hAnsi="Cambria"/>
          <w:sz w:val="22"/>
          <w:szCs w:val="22"/>
          <w:u w:val="none"/>
        </w:rPr>
      </w:pPr>
      <w:r w:rsidDel="00000000" w:rsidR="00000000" w:rsidRPr="00000000">
        <w:rPr>
          <w:rFonts w:ascii="Cambria" w:cs="Cambria" w:eastAsia="Cambria" w:hAnsi="Cambria"/>
          <w:b w:val="1"/>
          <w:bCs w:val="1"/>
          <w:sz w:val="22"/>
          <w:szCs w:val="22"/>
          <w:rtl w:val="0"/>
        </w:rPr>
        <w:t xml:space="preserve">RNF11 – Escalabilidad: </w:t>
      </w:r>
      <w:r w:rsidDel="00000000" w:rsidR="00000000" w:rsidRPr="00000000">
        <w:rPr>
          <w:rFonts w:ascii="Cambria" w:cs="Cambria" w:eastAsia="Cambria" w:hAnsi="Cambria"/>
          <w:sz w:val="22"/>
          <w:szCs w:val="22"/>
          <w:rtl w:val="0"/>
        </w:rPr>
        <w:t xml:space="preserve">El sistema deberá estar diseñado de manera que permita incorporar nuevos comercios, camiones y choferes desde el panel administrativo sin requerir modificaciones significativas en el software.</w:t>
      </w:r>
    </w:p>
    <w:p w:rsidR="00000000" w:rsidDel="00000000" w:rsidP="00000000" w:rsidRDefault="00000000" w:rsidRPr="00000000" w14:paraId="00000049">
      <w:pPr>
        <w:numPr>
          <w:ilvl w:val="0"/>
          <w:numId w:val="1"/>
        </w:numPr>
        <w:spacing w:after="0" w:afterAutospacing="0" w:line="276" w:lineRule="auto"/>
        <w:ind w:left="425.19685039370063" w:hanging="425.19685039370063"/>
        <w:jc w:val="both"/>
        <w:rPr>
          <w:rFonts w:ascii="Cambria" w:cs="Cambria" w:eastAsia="Cambria" w:hAnsi="Cambria"/>
          <w:sz w:val="22"/>
          <w:szCs w:val="22"/>
          <w:u w:val="none"/>
        </w:rPr>
      </w:pPr>
      <w:r w:rsidDel="00000000" w:rsidR="00000000" w:rsidRPr="00000000">
        <w:rPr>
          <w:rFonts w:ascii="Cambria" w:cs="Cambria" w:eastAsia="Cambria" w:hAnsi="Cambria"/>
          <w:b w:val="1"/>
          <w:bCs w:val="1"/>
          <w:sz w:val="22"/>
          <w:szCs w:val="22"/>
          <w:rtl w:val="0"/>
        </w:rPr>
        <w:t xml:space="preserve">RNF12 - Formato Hoja de Ruta:</w:t>
      </w:r>
      <w:r w:rsidDel="00000000" w:rsidR="00000000" w:rsidRPr="00000000">
        <w:rPr>
          <w:rFonts w:ascii="Cambria" w:cs="Cambria" w:eastAsia="Cambria" w:hAnsi="Cambria"/>
          <w:sz w:val="22"/>
          <w:szCs w:val="22"/>
          <w:rtl w:val="0"/>
        </w:rPr>
        <w:t xml:space="preserve"> El sistema deberá procesar e importar archivos estructurados (Excel/CSV) provistos por las marcas con capacidad de cargar hasta 700 remitos en una sola operación en bloque. Asimismo, garantizará un mecanismo de contingencia para la carga o edición manual e individual de remitos para casos excepcionales.</w:t>
      </w:r>
      <w:r w:rsidDel="00000000" w:rsidR="00000000" w:rsidRPr="00000000">
        <w:rPr>
          <w:rtl w:val="0"/>
        </w:rPr>
      </w:r>
    </w:p>
    <w:p w:rsidR="00000000" w:rsidDel="00000000" w:rsidP="00000000" w:rsidRDefault="00000000" w:rsidRPr="00000000" w14:paraId="0000004A">
      <w:pPr>
        <w:numPr>
          <w:ilvl w:val="0"/>
          <w:numId w:val="5"/>
        </w:numPr>
        <w:spacing w:after="0" w:afterAutospacing="0" w:line="276" w:lineRule="auto"/>
        <w:ind w:left="283.46456692913375" w:hanging="855"/>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Mantenibilidad y Soporte Post-Venta</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5.19685039370063" w:right="0" w:hanging="425.19685039370063"/>
        <w:jc w:val="both"/>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RNF13 - Mantenibilidad y Nuevas Funciones(Evolución): </w:t>
      </w:r>
      <w:r w:rsidDel="00000000" w:rsidR="00000000" w:rsidRPr="00000000">
        <w:rPr>
          <w:rFonts w:ascii="Cambria" w:cs="Cambria" w:eastAsia="Cambria" w:hAnsi="Cambria"/>
          <w:sz w:val="22"/>
          <w:szCs w:val="22"/>
          <w:rtl w:val="0"/>
        </w:rPr>
        <w:t xml:space="preserve">El software se diseñará utilizando una arquitectura en capas desacoplada. Esto permitirá agregar nuevas funcionalidades en el futuro a solicitud del cliente sin alterar la lógica de conciliación existente. </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5.19685039370063" w:right="0" w:hanging="425.19685039370063"/>
        <w:jc w:val="both"/>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RNF14 - Trazabilidad de Errores(Soporte Post-Venta): </w:t>
      </w:r>
      <w:r w:rsidDel="00000000" w:rsidR="00000000" w:rsidRPr="00000000">
        <w:rPr>
          <w:rFonts w:ascii="Cambria" w:cs="Cambria" w:eastAsia="Cambria" w:hAnsi="Cambria"/>
          <w:sz w:val="22"/>
          <w:szCs w:val="22"/>
          <w:rtl w:val="0"/>
        </w:rPr>
        <w:t xml:space="preserve">El sistema contará con un módulo centralizado de registro de eventos (Logs). En caso de detectarse un bug meses después del despliegue, el equipo técnico utilizará estos registros para identificar la falla sin poner en riesgo los datos históricos almacenados. </w:t>
      </w:r>
      <w:r w:rsidDel="00000000" w:rsidR="00000000" w:rsidRPr="00000000">
        <w:rPr>
          <w:rtl w:val="0"/>
        </w:rPr>
      </w:r>
    </w:p>
    <w:p w:rsidR="00000000" w:rsidDel="00000000" w:rsidP="00000000" w:rsidRDefault="00000000" w:rsidRPr="00000000" w14:paraId="0000004D">
      <w:pPr>
        <w:numPr>
          <w:ilvl w:val="0"/>
          <w:numId w:val="5"/>
        </w:numPr>
        <w:spacing w:after="0" w:afterAutospacing="0" w:line="276" w:lineRule="auto"/>
        <w:ind w:left="283.46456692913375" w:hanging="855"/>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Portabilidad y Acceso a Hardware</w:t>
      </w:r>
      <w:r w:rsidDel="00000000" w:rsidR="00000000" w:rsidRPr="00000000">
        <w:rPr>
          <w:rtl w:val="0"/>
        </w:rPr>
      </w:r>
    </w:p>
    <w:p w:rsidR="00000000" w:rsidDel="00000000" w:rsidP="00000000" w:rsidRDefault="00000000" w:rsidRPr="00000000" w14:paraId="0000004E">
      <w:pPr>
        <w:numPr>
          <w:ilvl w:val="0"/>
          <w:numId w:val="4"/>
        </w:numPr>
        <w:spacing w:line="276" w:lineRule="auto"/>
        <w:ind w:left="425.19685039370063" w:hanging="425.19685039370063"/>
        <w:jc w:val="both"/>
        <w:rPr>
          <w:rFonts w:ascii="Cambria" w:cs="Cambria" w:eastAsia="Cambria" w:hAnsi="Cambria"/>
          <w:sz w:val="22"/>
          <w:szCs w:val="22"/>
          <w:u w:val="none"/>
        </w:rPr>
      </w:pPr>
      <w:r w:rsidDel="00000000" w:rsidR="00000000" w:rsidRPr="00000000">
        <w:rPr>
          <w:rFonts w:ascii="Cambria" w:cs="Cambria" w:eastAsia="Cambria" w:hAnsi="Cambria"/>
          <w:b w:val="1"/>
          <w:bCs w:val="1"/>
          <w:sz w:val="22"/>
          <w:szCs w:val="22"/>
          <w:rtl w:val="0"/>
        </w:rPr>
        <w:t xml:space="preserve">RNF15 –Plataforma Administrativa y Móvil : </w:t>
      </w:r>
      <w:r w:rsidDel="00000000" w:rsidR="00000000" w:rsidRPr="00000000">
        <w:rPr>
          <w:rFonts w:ascii="Cambria" w:cs="Cambria" w:eastAsia="Cambria" w:hAnsi="Cambria"/>
          <w:sz w:val="22"/>
          <w:szCs w:val="22"/>
          <w:rtl w:val="0"/>
        </w:rPr>
        <w:t xml:space="preserve">El sistema dispondrá de un panel web de escritorio para los administrativos (debido al alto volumen de datos) y de una aplicación móvil exclusiva para entornos android destinada a los transportistas. </w:t>
      </w:r>
    </w:p>
    <w:p w:rsidR="00000000" w:rsidDel="00000000" w:rsidP="00000000" w:rsidRDefault="00000000" w:rsidRPr="00000000" w14:paraId="0000004F">
      <w:pPr>
        <w:numPr>
          <w:ilvl w:val="0"/>
          <w:numId w:val="4"/>
        </w:numPr>
        <w:spacing w:line="276" w:lineRule="auto"/>
        <w:ind w:left="425.19685039370063" w:hanging="425.19685039370063"/>
        <w:jc w:val="both"/>
        <w:rPr>
          <w:rFonts w:ascii="Cambria" w:cs="Cambria" w:eastAsia="Cambria" w:hAnsi="Cambria"/>
          <w:sz w:val="22"/>
          <w:szCs w:val="22"/>
          <w:u w:val="none"/>
        </w:rPr>
      </w:pPr>
      <w:r w:rsidDel="00000000" w:rsidR="00000000" w:rsidRPr="00000000">
        <w:rPr>
          <w:rFonts w:ascii="Cambria" w:cs="Cambria" w:eastAsia="Cambria" w:hAnsi="Cambria"/>
          <w:b w:val="1"/>
          <w:bCs w:val="1"/>
          <w:sz w:val="22"/>
          <w:szCs w:val="22"/>
          <w:rtl w:val="0"/>
        </w:rPr>
        <w:t xml:space="preserve">RNF16 – Acceso a la cámara: </w:t>
      </w:r>
      <w:r w:rsidDel="00000000" w:rsidR="00000000" w:rsidRPr="00000000">
        <w:rPr>
          <w:rFonts w:ascii="Cambria" w:cs="Cambria" w:eastAsia="Cambria" w:hAnsi="Cambria"/>
          <w:sz w:val="22"/>
          <w:szCs w:val="22"/>
          <w:rtl w:val="0"/>
        </w:rPr>
        <w:t xml:space="preserve">La aplicación móvil requerirá acceso a la cámara nativa del dispositivo, garantizando la captura y enfoque de las imágenes de los remitos firmados en papel, incluso en celulares de gama baja o modelos antiguos. </w:t>
      </w:r>
      <w:r w:rsidDel="00000000" w:rsidR="00000000" w:rsidRPr="00000000">
        <w:rPr>
          <w:rtl w:val="0"/>
        </w:rPr>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both"/>
        <w:rPr>
          <w:rFonts w:ascii="Libre Franklin" w:cs="Libre Franklin" w:eastAsia="Libre Franklin" w:hAnsi="Libre Franklin"/>
          <w:b w:val="1"/>
          <w:bCs w:val="1"/>
          <w:i w:val="0"/>
          <w:iCs w:val="0"/>
          <w:smallCaps w:val="0"/>
          <w:strike w:val="0"/>
          <w:color w:val="000000"/>
          <w:sz w:val="32"/>
          <w:szCs w:val="32"/>
          <w:u w:val="none"/>
          <w:shd w:fill="auto" w:val="clear"/>
          <w:vertAlign w:val="baseline"/>
        </w:rPr>
      </w:pPr>
      <w:r w:rsidDel="00000000" w:rsidR="00000000" w:rsidRPr="00000000">
        <w:rPr>
          <w:rtl w:val="0"/>
        </w:rPr>
      </w:r>
    </w:p>
    <w:sectPr>
      <w:headerReference r:id="rId8" w:type="first"/>
      <w:type w:val="nextPage"/>
      <w:pgSz w:h="16838" w:w="11906" w:orient="portrait"/>
      <w:pgMar w:bottom="1418" w:top="1418" w:left="1984.2519685039365"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rPr>
        <w:vertAlign w:val="baseline"/>
      </w:rPr>
    </w:pPr>
    <w:r w:rsidDel="00000000" w:rsidR="00000000" w:rsidRPr="00000000">
      <w:rPr>
        <w:rtl w:val="0"/>
      </w:rPr>
    </w:r>
  </w:p>
  <w:p w:rsidR="00000000" w:rsidDel="00000000" w:rsidP="00000000" w:rsidRDefault="00000000" w:rsidRPr="00000000" w14:paraId="0000005A">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63" w:hanging="425.1968503937006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5.19685039370063" w:hanging="425.1968503937009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25.19685039370063" w:hanging="425.1968503937006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5.19685039370063" w:hanging="425.1968503937006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283.46456692913375" w:hanging="85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425.19685039370063" w:hanging="425.1968503937006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