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400"/>
      </w:tblPr>
      <w:tblGrid>
        <w:gridCol w:w="2265"/>
        <w:gridCol w:w="4410"/>
        <w:gridCol w:w="1395"/>
        <w:gridCol w:w="2430"/>
        <w:tblGridChange w:id="0">
          <w:tblGrid>
            <w:gridCol w:w="2265"/>
            <w:gridCol w:w="4410"/>
            <w:gridCol w:w="1395"/>
            <w:gridCol w:w="2430"/>
          </w:tblGrid>
        </w:tblGridChange>
      </w:tblGrid>
      <w:tr>
        <w:trPr>
          <w:cantSplit w:val="0"/>
          <w:trHeight w:val="526" w:hRule="atLeast"/>
          <w:tblHeader w:val="0"/>
        </w:trPr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Processo Seletivo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02485/2026 - Mentor de Projetos e Pesquisa - Líder Técnico de Inteligência Artificial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Etapa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Estudo de caso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Entidade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4f6228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Centro Universitário SENAI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Data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 11/09/2026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Dados a serem preenchidos pelo Candidato(a):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center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400"/>
      </w:tblPr>
      <w:tblGrid>
        <w:gridCol w:w="2265"/>
        <w:gridCol w:w="4410"/>
        <w:gridCol w:w="1395"/>
        <w:gridCol w:w="2430"/>
        <w:tblGridChange w:id="0">
          <w:tblGrid>
            <w:gridCol w:w="2265"/>
            <w:gridCol w:w="4410"/>
            <w:gridCol w:w="1395"/>
            <w:gridCol w:w="2430"/>
          </w:tblGrid>
        </w:tblGridChange>
      </w:tblGrid>
      <w:tr>
        <w:trPr>
          <w:cantSplit w:val="0"/>
          <w:trHeight w:val="526" w:hRule="atLeast"/>
          <w:tblHeader w:val="0"/>
        </w:trPr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Nome Completo</w:t>
            </w:r>
          </w:p>
        </w:tc>
        <w:tc>
          <w:tcPr>
            <w:gridSpan w:val="3"/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Enzo Nicolás Spotorno Bieger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E-mail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enzonsb@gmail.com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CPF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800.235.429-00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Olá, candidato (a)!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Seja bem-vindo à etapa prática do processo seletivo 02485/2026 - Mentor de Projetos e Pesquisa - Líder Técnico de Inteligência Artificial – Florianópolis/SC.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Informações Importantes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123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A prova online poderá ser realizada de qualquer computador com acesso à internet;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123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Você terá até o dia 13/09/2026 às 17h para o desenvolvimento e envio da resolução;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123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Você deve anexar a sua resolução no link disponibilizado por e-mail;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123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O arquivo deve estar nomeado com seu nome completo;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123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No dia 17/09/2026 acontecerá a entrevista individual complementar, os horários serão disponibilizados via errata após a finalização do prazo de envio do estudo de caso; A comprovação dos conhecimentos, será realizada também na </w:t>
      </w:r>
      <w:r w:rsidDel="00000000" w:rsidR="00000000" w:rsidRPr="00000000">
        <w:rPr>
          <w:rtl w:val="0"/>
        </w:rPr>
        <w:t xml:space="preserve">entrevista</w:t>
      </w:r>
      <w:r w:rsidDel="00000000" w:rsidR="00000000" w:rsidRPr="00000000">
        <w:rPr>
          <w:color w:val="00000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123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A participação da entrevista está condicionada ao envio da resolução do estudo de caso;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123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O estudo de caso não poderá ser realizada por celulares ou tablets;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123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Não nos responsabilizamos por problemas de instabilidade de internet;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123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O aceite na agenda reforça o consenso do candidato sobre os critérios de avaliação e participação;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123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Critérios de Avaliação Prática: Conhecimento técnico.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Avaliação Prática - Case online: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TEMA: INTELIGÊNCIA ARTIFICIAL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A manutenção preditiva está revolucionando a forma como as indústrias gerenciam ativos e evitam falhas não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planejadas. Ao utilizar técnicas como aprendizado de máquina e análise avançada de dados, a IA capacita as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organizações a prever a necessidade de manutenção com base em indicadores de desempenho em tempo real,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através do monitoramento de diferentes variáveis coletadas diretamente do equipamento em análise. Uma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indústria de grande porte localizada no estado de Santa Catarina, contatou o SENAI SC sobre o interesse no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desenvolvimento de um projeto completo de manutenção preditiva, aplicado a máquinas e equipamentos do seu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chão de fábrica, o projeto inclui algoritmos capazes de identificar diferentes falhas em suas máquinas e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equipamentos.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O time de automação e instrumentação da empresa já instalou diferentes sensores e placas as quais enviam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dados para um banco de dados, esse banco de dados foi modelado e implementado pelo time de Software da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empresa. Para facilitar os desenvolvimentos e o paralelismo das atividades do projeto, os dados foram repassados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para que o time de IA, para que eles possam realizar as devidas análises.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Você como mentor da área de Inteligência Artificial, foi designado para montar uma arquitetura completa e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cronograma de execução desse projeto. Além disso o diretor da empresa solicitou uma prévia de implementação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para os algoritmos de IA. Sendo assim, através dos dados disponibilizados, você deve desenvolver um modelo de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Aprendizado de Máquina para identificar padrões do equipamento em análise, de tal forma que o diretor da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empresa seja convencido a contratar o projeto.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Desenvolva o Pipeline completo de um projeto de Aprendizado de Máquina, desde a definição da arquitetura,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análise e preparação dos dados adquiridos até a disponibilização visual dos resultados. O candidato é livre para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usar a criatividade sobre qual caminho seguir e como utilizar os dados para a resolução do problema, porém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espera-se que seja utilizada linguagem Python para os desenvolvimentos.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DOS DADOS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No link abaixo, é disponibilizado seis (6) arquivos com extensão .npy. Sabe-se que cada arquivo foi adquirido por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um sensor, os dados são oriundos de uma máquina com motor elétrico, os quais foram aquisitados a uma taxa de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10 KHz. Os dados de todos os sensores, foram adquiridos de forma simultânea, ou seja, no mesmo instante de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tempo. O arquivo Classes.npy possui diferentes estados de funcionamento dessa máquina, podendo ou não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possuir diferentes falhas e/ou funcionamento normal.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https://drive.google.com/drive/folders/1lo_hfgbo5hIuHCq4Jhg2tiUTXWXt017K?usp=sharing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OBS: sensores, são dispositivos capazes de medir grandezas físicas, tem seu funcionamento com base em sinais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elétricos, em ambiente industrial podem captar sinais de ruídos e até mesmo entrarem em falha.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AVALIAÇÃO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A prova prática terá duas etapas: a entrega do projeto e uma entrevista para a apresentação do projeto.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Itens avaliados na entrega do projeto: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• Arquitetura proposta e cronograma de execução para o projeto, caso contratado;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• Desenvolvimento e organização do código para solucionar a problemática e convencer o diretor da empresa a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realizar o projeto com o SENAI SC;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• Estruturação do projeto no GitHub;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• Interpretação do problema;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• Etapas do Pipeline realizadas e qualidade de sua execução com Pré-processamento, Engenharia de Requisitos,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Seleção do Modelo, Avaliação do Modelo e disponibilização.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ITENS AVALIADOS NA ENTREVISTA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• Apresentação do projeto e defesa do ponto de vista;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• Visualização dos dados e resultados.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OBS1: O candidato deve submeter seu projeto independentemente da não realização de uma das etapas do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exigidas.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OBS2: A apresentação do projeto pode ser feita utilizando qualquer ferramenta (power point, jupyter notebook,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Google Colab etc.)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 SOFTWARE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É permitido o uso de qualquer IDE e Biblioteca de Aprendizado de Máquina, desde que respeite às seguintes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exigências: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• Linguagem de Programação Python;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• Será considerado um plus a implementação de APIs e bancos de dados.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Boa Prova!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" w:right="123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CaseTitle"/>
        <w:keepNext/>
        <w:jc w:val="left"/>
      </w:pPr>
      <w:r>
        <w:t>Resolução do Estudo de Caso</w:t>
      </w:r>
    </w:p>
    <w:p>
      <w:pPr>
        <w:pStyle w:val="CaseBody"/>
      </w:pPr>
      <w:r>
        <w:rPr>
          <w:b/>
        </w:rPr>
        <w:t>Manutenção preditiva para motor elétrico</w:t>
      </w:r>
      <w:r>
        <w:br/>
        <w:t>Proposta de arquitetura, plano de execução e prévia técnica</w:t>
      </w:r>
    </w:p>
    <w:p>
      <w:pPr>
        <w:pStyle w:val="CaseHeading1"/>
        <w:keepNext/>
      </w:pPr>
      <w:r>
        <w:t>Síntese executiva</w:t>
      </w:r>
    </w:p>
    <w:p>
      <w:pPr>
        <w:pStyle w:val="CaseBody"/>
      </w:pPr>
      <w:r>
        <w:t>A prévia demonstra a viabilidade técnica de distinguir cinco estados da máquina a partir de três sensores informativos, com F1 macro de 0,9624 em dados nunca vistos, erro de calibração de 0,0061 e cobertura conformal de 0,8944 para uma meta de 0,90. O projeto proposto transforma essa evidência em um piloto industrial de nove meses, com auditoria de dados, integração ao banco existente, inferência por API, dashboard para manutenção e monitoramento de drift.</w:t>
      </w:r>
    </w:p>
    <w:p>
      <w:pPr>
        <w:pStyle w:val="CaseBody"/>
      </w:pPr>
      <w:r>
        <w:t>A recomendação é contratar um piloto para uma máquina específica, mantendo o processo atual de manutenção em paralelo durante o modo sombra. A expansão para outros ativos depende da validação das unidades físicas, da semântica das classes e do comportamento do modelo sob a distribuição real de falhas da planta.</w:t>
      </w:r>
    </w:p>
    <w:p>
      <w:pPr>
        <w:pStyle w:val="CaseHeading1"/>
        <w:keepNext/>
      </w:pPr>
      <w:r>
        <w:t>1 Interpretação do problema e viabilidade</w:t>
      </w:r>
    </w:p>
    <w:p>
      <w:pPr>
        <w:pStyle w:val="CaseBody"/>
      </w:pPr>
      <w:r>
        <w:t>O case exige duas entregas complementares: uma solução técnica capaz de convencer o diretor e um plano de projeto que reconheça as incertezas ainda abertas. Antes de modelar, os cinco canais foram auditados estatisticamente. Dados 1, 2 e 3 contêm sinal discriminante; Dados 4 permanece praticamente constante; Dados 5 é indistinguível de ruído branco em relação às classes. A coluna adicional de Dados 1 a 3 foi tratada como artefato de exportação após validação, sem depender de inspeção visual isolada.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9"/>
        <w:gridCol w:w="3489"/>
        <w:gridCol w:w="3489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43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Decisão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Sensores 1, 2 e 3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Informação mútua e Kruskal-Wallis significativos</w:t>
            </w:r>
          </w:p>
        </w:tc>
        <w:tc>
          <w:tcPr>
            <w:tcW w:type="dxa" w:w="43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Retidos para modelagem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Sensor 4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Variância quase nula</w:t>
            </w:r>
          </w:p>
        </w:tc>
        <w:tc>
          <w:tcPr>
            <w:tcW w:type="dxa" w:w="43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Excluído; investigar sensor morto ou canal cabeado incorretamente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Sensor 5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 associação estatística útil com as classes</w:t>
            </w:r>
          </w:p>
        </w:tc>
        <w:tc>
          <w:tcPr>
            <w:tcW w:type="dxa" w:w="43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Excluído; manter diagnóstico de instrumentação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Classes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Cinco classes perfeitamente balanceadas no recorte</w:t>
            </w:r>
          </w:p>
        </w:tc>
        <w:tc>
          <w:tcPr>
            <w:tcW w:type="dxa" w:w="43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Reavaliar com o prior real da fábrica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Tempo e unidades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 timestamps e sem conversão física informada</w:t>
            </w:r>
          </w:p>
        </w:tc>
        <w:tc>
          <w:tcPr>
            <w:tcW w:type="dxa" w:w="43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Resolver no kick-off antes do piloto</w:t>
            </w:r>
          </w:p>
        </w:tc>
      </w:tr>
    </w:tbl>
    <w:p>
      <w:pPr>
        <w:pStyle w:val="CaseBody"/>
        <w:spacing w:after="20"/>
      </w:pPr>
    </w:p>
    <w:p>
      <w:pPr>
        <w:pStyle w:val="CaseHeading1"/>
        <w:keepNext/>
      </w:pPr>
      <w:r>
        <w:t>2 Arquitetura da solução</w:t>
      </w:r>
    </w:p>
    <w:p>
      <w:pPr>
        <w:pStyle w:val="CaseBody"/>
      </w:pPr>
      <w:r>
        <w:t>A arquitetura separa a fonte de dados do cliente, o pipeline de IA e os canais de consumo. Um adaptador configurável lê janelas do banco existente sem duplicar o histórico bruto. O pipeline valida o esquema, aplica os limpadores ajustados apenas no treino, extrai features físicas e produz classe, probabilidades, conjunto conformal e explicação. A API persiste somente resultados de IA e metadados de auditoria; o dashboard consulta essa camada para apoiar a manutenção.</w:t>
      </w:r>
    </w:p>
    <w:p>
      <w:pPr>
        <w:pStyle w:val="CaseBody"/>
        <w:keepNext/>
        <w:jc w:val="center"/>
      </w:pPr>
      <w:r>
        <w:drawing>
          <wp:inline>
            <wp:extent cx="6400800" cy="3802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2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seCaption"/>
        <w:jc w:val="center"/>
      </w:pPr>
      <w:r>
        <w:t>Figura 1. Arquitetura da prévia e pontos de integração com a planta.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9"/>
        <w:gridCol w:w="3489"/>
        <w:gridCol w:w="3489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Tecnologia da prévia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Ingestão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Adaptar o banco do cliente, validar esquema e preservar rastreabilidade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Porta de dados configurável; lotes ou CDC/fila em alto volume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Processamento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Limpeza robusta e features de tempo, frequência e wavelet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NumPy, SciPy, PyWavelets e ssqueezepy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Modelagem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Comparar candidatos, calibrar incerteza e versionar artefatos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scikit-learn, XGBoost, Optuna, MLflow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Serviço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Inferência, explicação, auditoria e drift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FastAPI e ModelBundle versionado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Persistência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Guardar predições e evidências operacionais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PostgreSQL; SQLite no desenvolvimento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Interface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Exibir estado, confiança, histórico e alertas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Dashboard Streamlit ou integração ao BI do cliente</w:t>
            </w:r>
          </w:p>
        </w:tc>
      </w:tr>
    </w:tbl>
    <w:p>
      <w:pPr>
        <w:pStyle w:val="CaseBody"/>
        <w:spacing w:after="20"/>
      </w:pPr>
    </w:p>
    <w:p>
      <w:pPr>
        <w:pStyle w:val="CaseHeading2"/>
        <w:keepNext/>
      </w:pPr>
      <w:r>
        <w:t>Pipeline de treino</w:t>
      </w:r>
    </w:p>
    <w:p>
      <w:pPr>
        <w:pStyle w:val="CaseBody"/>
        <w:keepNext/>
        <w:jc w:val="center"/>
      </w:pPr>
      <w:r>
        <w:drawing>
          <wp:inline>
            <wp:extent cx="6400800" cy="184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seCaption"/>
        <w:jc w:val="center"/>
      </w:pPr>
      <w:r>
        <w:t>Figura 2. Pipeline de treino com separação explícita entre treino, calibração e teste.</w:t>
      </w:r>
    </w:p>
    <w:p>
      <w:pPr>
        <w:pStyle w:val="CaseBody"/>
        <w:keepLines/>
      </w:pPr>
      <w:r>
        <w:t>O desenho evita vazamento: o split ocorre nos índices brutos; os limiares de limpeza são ajustados somente no treino e reaplicados em calibração e teste. A validação compara árvore de decisão, Random Forest, HistGradientBoosting e XGBoost. O modelo vencedor recebe calibração conformal e segue para um bundle com versões, features e metadados necessários à reprodução.</w:t>
      </w:r>
    </w:p>
    <w:p>
      <w:pPr>
        <w:pStyle w:val="CaseHeading1"/>
        <w:keepNext/>
      </w:pPr>
      <w:r>
        <w:t>3 Cronograma de execução</w:t>
      </w:r>
    </w:p>
    <w:p>
      <w:pPr>
        <w:pStyle w:val="CaseBody"/>
      </w:pPr>
      <w:r>
        <w:t>O cronograma externo entrega um piloto validado para uma máquina em nove meses. Cada fase termina com um marco verificável e mantém a empresa envolvida nas decisões que dependem de conhecimento de chão de fábrica. A trilha de pesquisa permanece interna e paralela, sem bloquear entregas contratadas.</w:t>
      </w:r>
    </w:p>
    <w:p>
      <w:pPr>
        <w:pStyle w:val="CaseBody"/>
        <w:keepNext/>
        <w:jc w:val="center"/>
      </w:pPr>
      <w:r>
        <w:drawing>
          <wp:inline>
            <wp:extent cx="6400800" cy="2739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seCaption"/>
        <w:jc w:val="center"/>
      </w:pPr>
      <w:r>
        <w:t>Figura 3. Cronograma externo de nove meses; sustentação contínua após o piloto.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16"/>
        <w:gridCol w:w="2616"/>
        <w:gridCol w:w="2616"/>
        <w:gridCol w:w="2616"/>
      </w:tblGrid>
      <w:tr>
        <w:trPr>
          <w:tblHeader w:val="true"/>
        </w:trP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Entrega principal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Marco de conclusão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 Requisitos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Mês 1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Semântica das classes, unidades, acesso e critérios de aceite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Requisitos assinados e acesso liberado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 Entendimento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Mês 2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Auditoria no banco real e caracterização da máquina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Sensores e qualidade dos dados validados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 Baseline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Meses 3 e 4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Features físicas, modelo interpretável e incerteza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Aprovação para operar em modo sombra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 Integração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Meses 5 e 6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API, banco de resultados, dashboard e piloto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30 dias em produção sombra sem incidente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 Campo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Mês 7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Validação de alarmes e transferência de conhecimento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Aceite para operação assistida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 Evolução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Meses 8 e 9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Drift, gatilhos de retrain e plano de sustentação</w:t>
            </w:r>
          </w:p>
        </w:tc>
        <w:tc>
          <w:tcPr>
            <w:tcW w:type="dxa" w:w="368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Operação monitorada e processo de evolução</w:t>
            </w:r>
          </w:p>
        </w:tc>
      </w:tr>
    </w:tbl>
    <w:p>
      <w:pPr>
        <w:pStyle w:val="CaseBody"/>
        <w:spacing w:after="20"/>
      </w:pPr>
    </w:p>
    <w:p>
      <w:pPr>
        <w:pStyle w:val="CaseHeading2"/>
        <w:keepNext/>
      </w:pPr>
      <w:r>
        <w:t>Equipe e esforço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16"/>
        <w:gridCol w:w="2616"/>
        <w:gridCol w:w="2616"/>
        <w:gridCol w:w="2616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Líder técnico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Engenharia de ML e dados</w:t>
            </w:r>
          </w:p>
        </w:tc>
        <w:tc>
          <w:tcPr>
            <w:tcW w:type="dxa" w:w="2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Integração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0,3 pessoa-mês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0,5 pessoa-mês</w:t>
            </w:r>
          </w:p>
        </w:tc>
        <w:tc>
          <w:tcPr>
            <w:tcW w:type="dxa" w:w="2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Apoio pontual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0,2 pessoa-mês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1,0 pessoa-mês</w:t>
            </w:r>
          </w:p>
        </w:tc>
        <w:tc>
          <w:tcPr>
            <w:tcW w:type="dxa" w:w="2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Apoio pontual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0,4 pessoa-mês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2,0 pessoa-mês</w:t>
            </w:r>
          </w:p>
        </w:tc>
        <w:tc>
          <w:tcPr>
            <w:tcW w:type="dxa" w:w="2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Apoio pontual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0,3 pessoa-mês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1,0 pessoa-mês</w:t>
            </w:r>
          </w:p>
        </w:tc>
        <w:tc>
          <w:tcPr>
            <w:tcW w:type="dxa" w:w="2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1,0 pessoa-mês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0,3 pessoa-mês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0,5 pessoa-mês</w:t>
            </w:r>
          </w:p>
        </w:tc>
        <w:tc>
          <w:tcPr>
            <w:tcW w:type="dxa" w:w="2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0,5 pessoa-mês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0,1 por mês</w:t>
            </w:r>
          </w:p>
        </w:tc>
        <w:tc>
          <w:tcPr>
            <w:tcW w:type="dxa" w:w="351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0,3 por mês</w:t>
            </w:r>
          </w:p>
        </w:tc>
        <w:tc>
          <w:tcPr>
            <w:tcW w:type="dxa" w:w="2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0,2 por mês</w:t>
            </w:r>
          </w:p>
        </w:tc>
      </w:tr>
    </w:tbl>
    <w:p>
      <w:pPr>
        <w:pStyle w:val="CaseBody"/>
        <w:spacing w:after="20"/>
      </w:pPr>
    </w:p>
    <w:p>
      <w:pPr>
        <w:pStyle w:val="CaseHeading1"/>
        <w:keepNext/>
      </w:pPr>
      <w:r>
        <w:t>4 Resultados da prévia técnica</w:t>
      </w:r>
    </w:p>
    <w:p>
      <w:pPr>
        <w:pStyle w:val="CaseBody"/>
      </w:pPr>
      <w:r>
        <w:t>O HistGradientBoosting venceu a comparação entre quatro candidatos. O desempenho alto veio acompanhado de testes de calibração, incerteza, robustez e controles negativos, o que reduz a chance de confundir uma métrica isolada com evidência de viabilidade.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9"/>
        <w:gridCol w:w="3489"/>
        <w:gridCol w:w="3489"/>
      </w:tblGrid>
      <w:tr>
        <w:trPr>
          <w:tblHeader w:val="true"/>
        </w:trP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60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Interpretação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F1 macro em teste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0,9624</w:t>
            </w:r>
          </w:p>
        </w:tc>
        <w:tc>
          <w:tcPr>
            <w:tcW w:type="dxa" w:w="60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Separação consistente entre as cinco classes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Erro de calibração esperado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0,0061</w:t>
            </w:r>
          </w:p>
        </w:tc>
        <w:tc>
          <w:tcPr>
            <w:tcW w:type="dxa" w:w="60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Probabilidades reportadas acompanham a frequência observada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 conformal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0,8944</w:t>
            </w:r>
          </w:p>
        </w:tc>
        <w:tc>
          <w:tcPr>
            <w:tcW w:type="dxa" w:w="60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Próxima da meta configurada de 0,90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Tamanho médio do conjunto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0,98</w:t>
            </w:r>
          </w:p>
        </w:tc>
        <w:tc>
          <w:tcPr>
            <w:tcW w:type="dxa" w:w="60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Quase sempre uma única classe plausível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Rótulos embaralhados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F1 0,2001</w:t>
            </w:r>
          </w:p>
        </w:tc>
        <w:tc>
          <w:tcPr>
            <w:tcW w:type="dxa" w:w="60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Resultado cai exatamente ao acaso teórico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Somente sensor de ruído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F1 0,0667</w:t>
            </w:r>
          </w:p>
        </w:tc>
        <w:tc>
          <w:tcPr>
            <w:tcW w:type="dxa" w:w="600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Canal excluído não sustenta a classificação</w:t>
            </w:r>
          </w:p>
        </w:tc>
      </w:tr>
    </w:tbl>
    <w:p>
      <w:pPr>
        <w:pStyle w:val="CaseBody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33"/>
        <w:gridCol w:w="5233"/>
      </w:tblGrid>
      <w:tr>
        <w:tc>
          <w:tcPr>
            <w:tcW w:type="dxa" w:w="52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>
                  <wp:extent cx="2788920" cy="287539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875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>
                  <wp:extent cx="2788920" cy="28657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ibrat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865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seCaption"/>
        <w:jc w:val="center"/>
      </w:pPr>
      <w:r>
        <w:t>Figura 4. Matriz de confusão no teste e curva de calibração do modelo final.</w:t>
      </w:r>
    </w:p>
    <w:p>
      <w:pPr>
        <w:pStyle w:val="CaseHeading2"/>
        <w:keepNext/>
      </w:pPr>
      <w:r>
        <w:t>Explicabilidade e adoção</w:t>
      </w:r>
    </w:p>
    <w:p>
      <w:pPr>
        <w:pStyle w:val="CaseBody"/>
      </w:pPr>
      <w:r>
        <w:t>SHAP, importância por permutação e LIME convergem para features de bandas de frequência e escalas wavelet, sugerindo que o classificador explora estrutura do sinal em vez de um identificador espúrio. Regras simples podem ser extraídas de uma árvore rasa, mas o ganho de legibilidade tem custo mensurável: uma árvore de profundidade 4 alcança F1 de 0,543, enquanto a árvore irrestrita chega a 0,712 e o ensemble final a 0,962. A proposta usa a árvore rasa como instrumento de triagem e comunicação, mantendo o ensemble calibrado para a decisão operacional.</w:t>
      </w:r>
    </w:p>
    <w:p>
      <w:pPr>
        <w:pStyle w:val="CaseHeading1"/>
        <w:keepNext/>
      </w:pPr>
      <w:r>
        <w:t>5 Riscos e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9"/>
        <w:gridCol w:w="3489"/>
        <w:gridCol w:w="3489"/>
      </w:tblGrid>
      <w:tr>
        <w:trPr>
          <w:tblHeader w:val="true"/>
        </w:trPr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Risco prioritário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58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Controle proposto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Dados reais incompletos ou sem semântica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58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Gate de requisitos no mês 1 e auditoria antes de modelar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Sensor em falha, saturado ou ruidoso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58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Auditoria automática por lote e alertas de qualidade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Desbalanceamento severo em produção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58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Reavaliação sob prior real e métricas por classe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Falha nunca vista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58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Abstenção por incerteza e conjunto conformal; escalonamento humano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Drift após desgaste ou manutenção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58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PSI e KS, janela mínima e gatilho governado de retrain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Baixa confiança do time de manutenção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Médio</w:t>
            </w:r>
          </w:p>
        </w:tc>
        <w:tc>
          <w:tcPr>
            <w:tcW w:type="dxa" w:w="58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SHAP/LIME, baseline em árvore e validação conjunta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Escala e integração</w:t>
            </w:r>
          </w:p>
        </w:tc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Médio</w:t>
            </w:r>
          </w:p>
        </w:tc>
        <w:tc>
          <w:tcPr>
            <w:tcW w:type="dxa" w:w="583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Adaptador de dados isolado, lotes/CDC/fila e API stateless</w:t>
            </w:r>
          </w:p>
        </w:tc>
      </w:tr>
    </w:tbl>
    <w:p>
      <w:pPr>
        <w:pStyle w:val="CaseBody"/>
        <w:spacing w:after="20"/>
      </w:pPr>
    </w:p>
    <w:p>
      <w:pPr>
        <w:pStyle w:val="CaseHeading1"/>
        <w:keepNext/>
      </w:pPr>
      <w:r>
        <w:t>6 Entregáveis e acesso</w:t>
      </w:r>
    </w:p>
    <w:p>
      <w:pPr>
        <w:pStyle w:val="CaseBody"/>
      </w:pPr>
      <w:r>
        <w:t>A resolução combina este documento executivo com dois níveis de apresentação e um repositório reproduzível. O repositório contém código, testes, notebooks executados, documentação detalhada, artefato do modelo e cópias dos três entregáveis finais.</w:t>
      </w:r>
    </w:p>
    <w:p>
      <w:pPr>
        <w:pStyle w:val="CaseBody"/>
      </w:pPr>
      <w:r>
        <w:rPr>
          <w:b/>
        </w:rPr>
        <w:t xml:space="preserve">Repositório e documentação técnica: </w:t>
      </w:r>
      <w:hyperlink r:id="rId28">
        <w:r>
          <w:rPr>
            <w:color w:val="0563C1"/>
            <w:u w:val="single"/>
          </w:rPr>
          <w:t>https://github.com/enzoniko/predictive-maintenance-senai</w:t>
        </w:r>
      </w:hyperlink>
    </w:p>
    <w:p>
      <w:pPr>
        <w:pStyle w:val="CaseBody"/>
      </w:pPr>
      <w:r>
        <w:rPr>
          <w:b/>
        </w:rPr>
        <w:t xml:space="preserve">Apresentação executiva: </w:t>
      </w:r>
      <w:hyperlink r:id="rId29">
        <w:r>
          <w:rPr>
            <w:color w:val="0563C1"/>
            <w:u w:val="single"/>
          </w:rPr>
          <w:t>https://github.com/enzoniko/predictive-maintenance-senai/blob/main/deliverables/Apresentacao_Executiva.pptx</w:t>
        </w:r>
      </w:hyperlink>
    </w:p>
    <w:p>
      <w:pPr>
        <w:pStyle w:val="CaseBody"/>
      </w:pPr>
      <w:r>
        <w:rPr>
          <w:b/>
        </w:rPr>
        <w:t xml:space="preserve">Apresentação técnica: </w:t>
      </w:r>
      <w:hyperlink r:id="rId30">
        <w:r>
          <w:rPr>
            <w:color w:val="0563C1"/>
            <w:u w:val="single"/>
          </w:rPr>
          <w:t>https://github.com/enzoniko/predictive-maintenance-senai/blob/main/deliverables/Apresentacao_Tecnica.pptx</w:t>
        </w:r>
      </w:hyperlink>
    </w:p>
    <w:p>
      <w:pPr>
        <w:pStyle w:val="CaseBody"/>
      </w:pPr>
      <w:r>
        <w:rPr>
          <w:b/>
        </w:rPr>
        <w:t xml:space="preserve">Documento principal: </w:t>
      </w:r>
      <w:hyperlink r:id="rId31">
        <w:r>
          <w:rPr>
            <w:color w:val="0563C1"/>
            <w:u w:val="single"/>
          </w:rPr>
          <w:t>https://github.com/enzoniko/predictive-maintenance-senai/blob/main/deliverables/Enzo%20Nicol%C3%A1s%20Spotorno%20Bieger.docx</w:t>
        </w:r>
      </w:hyperlink>
    </w:p>
    <w:p>
      <w:pPr>
        <w:pStyle w:val="CaseHeading2"/>
        <w:keepNext/>
      </w:pPr>
      <w:r>
        <w:t>Materiais para a entrevista</w:t>
      </w:r>
    </w:p>
    <w:p>
      <w:pPr>
        <w:pStyle w:val="CaseBody"/>
        <w:spacing w:after="40"/>
        <w:ind w:left="312" w:hanging="170"/>
      </w:pPr>
      <w:r>
        <w:t xml:space="preserve">• </w:t>
      </w:r>
      <w:r>
        <w:t>Apresentação executiva: 10 slides para diretor e decisão de contratação.</w:t>
      </w:r>
    </w:p>
    <w:p>
      <w:pPr>
        <w:pStyle w:val="CaseBody"/>
        <w:spacing w:after="40"/>
        <w:ind w:left="312" w:hanging="170"/>
      </w:pPr>
      <w:r>
        <w:t xml:space="preserve">• </w:t>
      </w:r>
      <w:r>
        <w:t>Apresentação técnica: 22 slides para defesa da metodologia, dos controles e da arquitetura.</w:t>
      </w:r>
    </w:p>
    <w:p>
      <w:pPr>
        <w:pStyle w:val="CaseBody"/>
        <w:spacing w:after="40"/>
        <w:ind w:left="312" w:hanging="170"/>
      </w:pPr>
      <w:r>
        <w:t xml:space="preserve">• </w:t>
      </w:r>
      <w:r>
        <w:t>Notebooks 01 a 03: auditoria de dados, avaliação de viabilidade e demonstração da API com banco e drift.</w:t>
      </w:r>
    </w:p>
    <w:sectPr>
      <w:headerReference r:id="rId17" w:type="default"/>
      <w:headerReference r:id="rId18" w:type="first"/>
      <w:headerReference r:id="rId19" w:type="even"/>
      <w:footerReference r:id="rId20" w:type="default"/>
      <w:footerReference r:id="rId21" w:type="first"/>
      <w:footerReference r:id="rId22" w:type="even"/>
      <w:pgSz w:h="16838" w:w="11906" w:orient="portrait"/>
      <w:pgMar w:bottom="720" w:top="284" w:left="720" w:right="720" w:header="28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b7b7b7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4"/>
      <w:tblW w:w="10490.0" w:type="dxa"/>
      <w:jc w:val="left"/>
      <w:tblInd w:w="108.0" w:type="dxa"/>
      <w:tblLayout w:type="fixed"/>
      <w:tblLook w:val="0000"/>
    </w:tblPr>
    <w:tblGrid>
      <w:gridCol w:w="1985"/>
      <w:gridCol w:w="2977"/>
      <w:gridCol w:w="1134"/>
      <w:gridCol w:w="2409"/>
      <w:gridCol w:w="1985"/>
      <w:tblGridChange w:id="0">
        <w:tblGrid>
          <w:gridCol w:w="1985"/>
          <w:gridCol w:w="2977"/>
          <w:gridCol w:w="1134"/>
          <w:gridCol w:w="2409"/>
          <w:gridCol w:w="1985"/>
        </w:tblGrid>
      </w:tblGridChange>
    </w:tblGrid>
    <w:tr>
      <w:trPr>
        <w:cantSplit w:val="0"/>
        <w:trHeight w:val="229" w:hRule="atLeast"/>
        <w:tblHeader w:val="0"/>
      </w:trPr>
      <w:tc>
        <w:tcPr>
          <w:tcBorders>
            <w:top w:color="b7b7b7" w:space="0" w:sz="4" w:val="single"/>
            <w:bottom w:color="b7b7b7" w:space="0" w:sz="4" w:val="single"/>
          </w:tcBorders>
          <w:vAlign w:val="center"/>
        </w:tcPr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40" w:before="40" w:lineRule="auto"/>
            <w:jc w:val="center"/>
            <w:rPr>
              <w:i w:val="1"/>
              <w:iCs w:val="1"/>
              <w:color w:val="b7b7b7"/>
              <w:sz w:val="16"/>
              <w:szCs w:val="16"/>
            </w:rPr>
          </w:pPr>
          <w:r w:rsidDel="00000000" w:rsidR="00000000" w:rsidRPr="00000000">
            <w:rPr>
              <w:i w:val="1"/>
              <w:iCs w:val="1"/>
              <w:color w:val="b7b7b7"/>
              <w:sz w:val="16"/>
              <w:szCs w:val="16"/>
              <w:rtl w:val="0"/>
            </w:rPr>
            <w:t xml:space="preserve">Código do Formulário</w:t>
          </w:r>
        </w:p>
      </w:tc>
      <w:tc>
        <w:tcPr>
          <w:tcBorders>
            <w:top w:color="b7b7b7" w:space="0" w:sz="4" w:val="single"/>
            <w:bottom w:color="b7b7b7" w:space="0" w:sz="4" w:val="single"/>
          </w:tcBorders>
          <w:vAlign w:val="center"/>
        </w:tcPr>
        <w:p w:rsidR="00000000" w:rsidDel="00000000" w:rsidP="00000000" w:rsidRDefault="00000000" w:rsidRPr="00000000" w14:paraId="0000009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40" w:before="40" w:lineRule="auto"/>
            <w:jc w:val="center"/>
            <w:rPr>
              <w:i w:val="1"/>
              <w:iCs w:val="1"/>
              <w:color w:val="b7b7b7"/>
              <w:sz w:val="16"/>
              <w:szCs w:val="16"/>
            </w:rPr>
          </w:pPr>
          <w:r w:rsidDel="00000000" w:rsidR="00000000" w:rsidRPr="00000000">
            <w:rPr>
              <w:i w:val="1"/>
              <w:iCs w:val="1"/>
              <w:color w:val="b7b7b7"/>
              <w:sz w:val="16"/>
              <w:szCs w:val="16"/>
              <w:rtl w:val="0"/>
            </w:rPr>
            <w:t xml:space="preserve">FM-014-NP-801-FIESC</w:t>
          </w:r>
        </w:p>
      </w:tc>
      <w:tc>
        <w:tcPr>
          <w:tcBorders>
            <w:top w:color="b7b7b7" w:space="0" w:sz="4" w:val="single"/>
            <w:bottom w:color="b7b7b7" w:space="0" w:sz="4" w:val="single"/>
          </w:tcBorders>
          <w:vAlign w:val="center"/>
        </w:tcPr>
        <w:p w:rsidR="00000000" w:rsidDel="00000000" w:rsidP="00000000" w:rsidRDefault="00000000" w:rsidRPr="00000000" w14:paraId="000000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40" w:before="40" w:lineRule="auto"/>
            <w:jc w:val="center"/>
            <w:rPr>
              <w:color w:val="b7b7b7"/>
              <w:sz w:val="16"/>
              <w:szCs w:val="16"/>
            </w:rPr>
          </w:pPr>
          <w:r w:rsidDel="00000000" w:rsidR="00000000" w:rsidRPr="00000000">
            <w:rPr>
              <w:color w:val="b7b7b7"/>
              <w:sz w:val="16"/>
              <w:szCs w:val="16"/>
              <w:rtl w:val="0"/>
            </w:rPr>
            <w:t xml:space="preserve">Revisão 0</w:t>
          </w:r>
        </w:p>
      </w:tc>
      <w:tc>
        <w:tcPr>
          <w:tcBorders>
            <w:top w:color="b7b7b7" w:space="0" w:sz="4" w:val="single"/>
            <w:bottom w:color="b7b7b7" w:space="0" w:sz="4" w:val="single"/>
          </w:tcBorders>
          <w:vAlign w:val="center"/>
        </w:tcPr>
        <w:p w:rsidR="00000000" w:rsidDel="00000000" w:rsidP="00000000" w:rsidRDefault="00000000" w:rsidRPr="00000000" w14:paraId="0000009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40" w:before="40" w:lineRule="auto"/>
            <w:jc w:val="center"/>
            <w:rPr>
              <w:color w:val="b7b7b7"/>
              <w:sz w:val="16"/>
              <w:szCs w:val="16"/>
            </w:rPr>
          </w:pPr>
          <w:r w:rsidDel="00000000" w:rsidR="00000000" w:rsidRPr="00000000">
            <w:rPr>
              <w:color w:val="b7b7b7"/>
              <w:sz w:val="16"/>
              <w:szCs w:val="16"/>
              <w:rtl w:val="0"/>
            </w:rPr>
            <w:t xml:space="preserve">Data da Revisão: 21/09/2022</w:t>
          </w:r>
        </w:p>
      </w:tc>
      <w:tc>
        <w:tcPr>
          <w:tcBorders>
            <w:top w:color="b7b7b7" w:space="0" w:sz="4" w:val="single"/>
            <w:bottom w:color="b7b7b7" w:space="0" w:sz="4" w:val="single"/>
          </w:tcBorders>
          <w:vAlign w:val="center"/>
        </w:tcPr>
        <w:p w:rsidR="00000000" w:rsidDel="00000000" w:rsidP="00000000" w:rsidRDefault="00000000" w:rsidRPr="00000000" w14:paraId="0000009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40" w:before="40" w:lineRule="auto"/>
            <w:jc w:val="center"/>
            <w:rPr>
              <w:color w:val="b7b7b7"/>
              <w:sz w:val="16"/>
              <w:szCs w:val="16"/>
            </w:rPr>
          </w:pPr>
          <w:r w:rsidDel="00000000" w:rsidR="00000000" w:rsidRPr="00000000">
            <w:rPr>
              <w:color w:val="b7b7b7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color w:val="b7b7b7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b7b7b7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color w:val="b7b7b7"/>
              <w:sz w:val="22"/>
              <w:szCs w:val="22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b7b7b7"/>
        <w:sz w:val="2"/>
        <w:szCs w:val="2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490.0" w:type="dxa"/>
      <w:jc w:val="left"/>
      <w:tblInd w:w="108.0" w:type="dxa"/>
      <w:tblBorders>
        <w:top w:color="4f6228" w:space="0" w:sz="12" w:val="single"/>
        <w:bottom w:color="4f6228" w:space="0" w:sz="12" w:val="single"/>
      </w:tblBorders>
      <w:tblLayout w:type="fixed"/>
      <w:tblLook w:val="0000"/>
    </w:tblPr>
    <w:tblGrid>
      <w:gridCol w:w="2268"/>
      <w:gridCol w:w="8222"/>
      <w:tblGridChange w:id="0">
        <w:tblGrid>
          <w:gridCol w:w="2268"/>
          <w:gridCol w:w="8222"/>
        </w:tblGrid>
      </w:tblGridChange>
    </w:tblGrid>
    <w:tr>
      <w:trPr>
        <w:cantSplit w:val="0"/>
        <w:trHeight w:val="569" w:hRule="atLeast"/>
        <w:tblHeader w:val="0"/>
      </w:trPr>
      <w:tc>
        <w:tcPr>
          <w:tcBorders>
            <w:top w:color="1f497d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1075164" cy="430488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5164" cy="430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1f497d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ffffff" w:val="clear"/>
          <w:vAlign w:val="center"/>
        </w:tcPr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color w:val="1f497d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1f497d"/>
              <w:sz w:val="32"/>
              <w:szCs w:val="32"/>
              <w:rtl w:val="0"/>
            </w:rPr>
            <w:t xml:space="preserve">Prova Prática: Case On-line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1f497d" w:space="0" w:sz="12" w:val="single"/>
            <w:right w:color="000000" w:space="0" w:sz="0" w:val="nil"/>
          </w:tcBorders>
          <w:shd w:fill="f2f2f2" w:val="clear"/>
          <w:vAlign w:val="center"/>
        </w:tcPr>
        <w:p w:rsidR="00000000" w:rsidDel="00000000" w:rsidP="00000000" w:rsidRDefault="00000000" w:rsidRPr="00000000" w14:paraId="0000008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40" w:before="40" w:lineRule="auto"/>
            <w:jc w:val="center"/>
            <w:rPr>
              <w:i w:val="1"/>
              <w:iCs w:val="1"/>
              <w:color w:val="000000"/>
              <w:sz w:val="16"/>
              <w:szCs w:val="16"/>
            </w:rPr>
          </w:pPr>
          <w:r w:rsidDel="00000000" w:rsidR="00000000" w:rsidRPr="00000000">
            <w:rPr>
              <w:i w:val="1"/>
              <w:iCs w:val="1"/>
              <w:color w:val="000000"/>
              <w:sz w:val="16"/>
              <w:szCs w:val="16"/>
              <w:rtl w:val="0"/>
            </w:rPr>
            <w:t xml:space="preserve">Formulário padronizado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1f497d" w:space="0" w:sz="12" w:val="single"/>
            <w:right w:color="000000" w:space="0" w:sz="0" w:val="nil"/>
          </w:tcBorders>
          <w:shd w:fill="f2f2f2" w:val="clear"/>
          <w:vAlign w:val="center"/>
        </w:tcPr>
        <w:p w:rsidR="00000000" w:rsidDel="00000000" w:rsidP="00000000" w:rsidRDefault="00000000" w:rsidRPr="00000000" w14:paraId="0000008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40" w:before="40" w:lineRule="auto"/>
            <w:jc w:val="center"/>
            <w:rPr>
              <w:i w:val="1"/>
              <w:iCs w:val="1"/>
              <w:color w:val="000000"/>
              <w:sz w:val="16"/>
              <w:szCs w:val="16"/>
            </w:rPr>
          </w:pPr>
          <w:r w:rsidDel="00000000" w:rsidR="00000000" w:rsidRPr="00000000">
            <w:rPr>
              <w:i w:val="1"/>
              <w:iCs w:val="1"/>
              <w:color w:val="000000"/>
              <w:sz w:val="16"/>
              <w:szCs w:val="16"/>
              <w:rtl w:val="0"/>
            </w:rPr>
            <w:t xml:space="preserve">Sistema FIESC – DIGED - Diretoria de Gestão de Pessoas e Desempenho</w:t>
          </w:r>
        </w:p>
      </w:tc>
    </w:tr>
  </w:tbl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  <w:sz w:val="10"/>
        <w:szCs w:val="1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Hyperlink">
    <w:name w:val="Hyperlink"/>
    <w:basedOn w:val="Fontepargpadro"/>
    <w:uiPriority w:val="99"/>
    <w:unhideWhenUsed w:val="1"/>
    <w:rsid w:val="0052323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52323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CaseTitle">
    <w:name w:val="Case Title"/>
    <w:pPr>
      <w:keepNext/>
      <w:spacing w:before="0" w:after="200" w:line="240" w:lineRule="auto"/>
    </w:pPr>
    <w:rPr>
      <w:rFonts w:ascii="Arial" w:hAnsi="Arial"/>
      <w:b/>
      <w:color w:val="000000"/>
      <w:sz w:val="44"/>
    </w:rPr>
  </w:style>
  <w:style w:type="paragraph" w:customStyle="1" w:styleId="CaseHeading1">
    <w:name w:val="Case Heading 1"/>
    <w:pPr>
      <w:keepNext/>
      <w:spacing w:before="280" w:after="140" w:line="240" w:lineRule="auto"/>
    </w:pPr>
    <w:rPr>
      <w:rFonts w:ascii="Arial" w:hAnsi="Arial"/>
      <w:b/>
      <w:color w:val="000000"/>
      <w:sz w:val="32"/>
    </w:rPr>
  </w:style>
  <w:style w:type="paragraph" w:customStyle="1" w:styleId="CaseHeading2">
    <w:name w:val="Case Heading 2"/>
    <w:pPr>
      <w:keepNext/>
      <w:spacing w:before="180" w:after="80" w:line="240" w:lineRule="auto"/>
    </w:pPr>
    <w:rPr>
      <w:rFonts w:ascii="Arial" w:hAnsi="Arial"/>
      <w:b/>
      <w:color w:val="1F4E79"/>
      <w:sz w:val="23"/>
    </w:rPr>
  </w:style>
  <w:style w:type="paragraph" w:customStyle="1" w:styleId="CaseBody">
    <w:name w:val="Case Body"/>
    <w:pPr>
      <w:keepNext w:val="0"/>
      <w:spacing w:before="0" w:after="100" w:line="254" w:lineRule="auto"/>
    </w:pPr>
    <w:rPr>
      <w:rFonts w:ascii="Arial" w:hAnsi="Arial"/>
      <w:b w:val="0"/>
      <w:color w:val="202020"/>
      <w:sz w:val="19"/>
    </w:rPr>
  </w:style>
  <w:style w:type="paragraph" w:customStyle="1" w:styleId="CaseCaption">
    <w:name w:val="Case Caption"/>
    <w:pPr>
      <w:keepNext w:val="0"/>
      <w:spacing w:before="40" w:after="160" w:line="240" w:lineRule="auto"/>
    </w:pPr>
    <w:rPr>
      <w:rFonts w:ascii="Arial" w:hAnsi="Arial"/>
      <w:b w:val="0"/>
      <w:color w:val="666666"/>
      <w:sz w:val="16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github.com/enzoniko/predictive-maintenance-senai/blob/main/docs/03_arquitetura.md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github.com/enzoniko/predictive-maintenance-senai/blob/main/docs/03_arquitetura.md" TargetMode="External"/><Relationship Id="rId21" Type="http://schemas.openxmlformats.org/officeDocument/2006/relationships/footer" Target="footer3.xml"/><Relationship Id="rId13" Type="http://schemas.openxmlformats.org/officeDocument/2006/relationships/hyperlink" Target="https://github.com/enzoniko/predictive-maintenance-senai/blob/main/docs/05_riscos_e_mitigacoes.md" TargetMode="External"/><Relationship Id="rId12" Type="http://schemas.openxmlformats.org/officeDocument/2006/relationships/hyperlink" Target="https://github.com/enzoniko/predictive-maintenance-senai/blob/main/docs/04_cronograma_9_meses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nzoniko/predictive-maintenance-senai/blob/main/docs/07_perguntas_ao_cliente.md" TargetMode="External"/><Relationship Id="rId15" Type="http://schemas.openxmlformats.org/officeDocument/2006/relationships/hyperlink" Target="https://github.com/enzoniko/predictive-maintenance-senai/blob/main/docs/03_arquitetura.md" TargetMode="External"/><Relationship Id="rId14" Type="http://schemas.openxmlformats.org/officeDocument/2006/relationships/hyperlink" Target="https://github.com/enzoniko/predictive-maintenance-senai/blob/main/docs/01_interpretacao_problema.md" TargetMode="External"/><Relationship Id="rId17" Type="http://schemas.openxmlformats.org/officeDocument/2006/relationships/header" Target="header2.xml"/><Relationship Id="rId16" Type="http://schemas.openxmlformats.org/officeDocument/2006/relationships/hyperlink" Target="https://github.com/enzoniko/predictive-maintenance-senai/tree/main/docs/videos/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eader" Target="header3.xml"/><Relationship Id="rId7" Type="http://schemas.openxmlformats.org/officeDocument/2006/relationships/hyperlink" Target="https://drive.google.com/drive/folders/1lo_hfgbo5hIuHCq4Jhg2tiUTXWXt017K?usp=sharing" TargetMode="External"/><Relationship Id="rId8" Type="http://schemas.openxmlformats.org/officeDocument/2006/relationships/hyperlink" Target="https://github.com/enzoniko/predictive-maintenance-senai/blob/main/docs/01_interpretacao_problema.md" TargetMode="External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hyperlink" Target="https://github.com/enzoniko/predictive-maintenance-senai" TargetMode="External"/><Relationship Id="rId29" Type="http://schemas.openxmlformats.org/officeDocument/2006/relationships/hyperlink" Target="https://github.com/enzoniko/predictive-maintenance-senai/blob/main/deliverables/Apresentacao_Executiva.pptx" TargetMode="External"/><Relationship Id="rId30" Type="http://schemas.openxmlformats.org/officeDocument/2006/relationships/hyperlink" Target="https://github.com/enzoniko/predictive-maintenance-senai/blob/main/deliverables/Apresentacao_Tecnica.pptx" TargetMode="External"/><Relationship Id="rId31" Type="http://schemas.openxmlformats.org/officeDocument/2006/relationships/hyperlink" Target="https://github.com/enzoniko/predictive-maintenance-senai/blob/main/deliverables/Enzo%20Nicol%C3%A1s%20Spotorno%20Bieger.docx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IYOyotzkDt06ndxOwPkgxpOymg==">CgMxLjA4AHIhMUw4a0RxMUdWWENBREYtamNUYUxMSHZlQ25rLUNGejhv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2026-09-10T11:47:00Z</dcterms:created>
  <dc:creator>Enzo Nicolás Spotorno Bieger</dc:creator>
  <dc:title>Resolução do Estudo de Caso de Manutenção Preditiva</dc:title>
  <dc:subject>Processo Seletivo 02485/2026</dc:subject>
</cp:coreProperties>
</file>