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Instalar Node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Instalar Vue CLI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Crear un proyecto con Vue3 a traves de Vue CLI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Consolas" w:cs="Consolas" w:eastAsia="Consolas" w:hAnsi="Consolas"/>
          <w:color w:val="116329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16329"/>
          <w:sz w:val="36"/>
          <w:szCs w:val="36"/>
          <w:rtl w:val="0"/>
        </w:rPr>
        <w:t xml:space="preserve">&gt; vue create nombre-del-proyecto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Iniciar la app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Consolas" w:cs="Consolas" w:eastAsia="Consolas" w:hAnsi="Consolas"/>
          <w:color w:val="116329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16329"/>
          <w:sz w:val="36"/>
          <w:szCs w:val="36"/>
          <w:rtl w:val="0"/>
        </w:rPr>
        <w:t xml:space="preserve">&gt; npm run serve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Instalar vue router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Consolas" w:cs="Consolas" w:eastAsia="Consolas" w:hAnsi="Consolas"/>
          <w:color w:val="116329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16329"/>
          <w:sz w:val="36"/>
          <w:szCs w:val="36"/>
          <w:rtl w:val="0"/>
        </w:rPr>
        <w:t xml:space="preserve">&gt; npm i vue-router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API Composition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53800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 Setup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53800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 Ref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Ciclo de vida de componentes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Hooks: son las funciones que interceptan el ciclo de vida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53800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 mount: onBeforeMount, onMounted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53800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 update: onBeforeUpdate, onUpdated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53800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 unmount: onBeforeUnmount, onUnmounted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Vue Router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Rutas anidadas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/news/123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/news/123/comments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/news/123/comments/456/replies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Nombres de componentes: 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newlist -&gt; no 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Newlist -&gt; no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36"/>
          <w:szCs w:val="36"/>
          <w:rtl w:val="0"/>
        </w:rPr>
        <w:t xml:space="preserve">NewList -&gt; SI 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nsolas" w:cs="Consolas" w:eastAsia="Consolas" w:hAnsi="Consolas"/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