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BB4D2" w14:textId="77777777" w:rsidR="002B6C37" w:rsidRPr="00B1429A" w:rsidRDefault="00000000">
      <w:pPr>
        <w:pStyle w:val="Ttulo2"/>
        <w:rPr>
          <w:rFonts w:ascii="Arial" w:hAnsi="Arial" w:cs="Arial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1429A">
        <w:rPr>
          <w:rFonts w:ascii="Arial" w:hAnsi="Arial" w:cs="Arial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Unidade</w:t>
      </w:r>
      <w:proofErr w:type="spellEnd"/>
      <w:r w:rsidRPr="00B1429A">
        <w:rPr>
          <w:rFonts w:ascii="Arial" w:hAnsi="Arial" w:cs="Arial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 – </w:t>
      </w:r>
      <w:proofErr w:type="spellStart"/>
      <w:r w:rsidRPr="00B1429A">
        <w:rPr>
          <w:rFonts w:ascii="Arial" w:hAnsi="Arial" w:cs="Arial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</w:t>
      </w:r>
      <w:proofErr w:type="spellEnd"/>
      <w:r w:rsidRPr="00B1429A">
        <w:rPr>
          <w:rFonts w:ascii="Arial" w:hAnsi="Arial" w:cs="Arial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dados na </w:t>
      </w:r>
      <w:proofErr w:type="spellStart"/>
      <w:r w:rsidRPr="00B1429A">
        <w:rPr>
          <w:rFonts w:ascii="Arial" w:hAnsi="Arial" w:cs="Arial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nuvem</w:t>
      </w:r>
      <w:proofErr w:type="spellEnd"/>
      <w:r w:rsidRPr="00B1429A">
        <w:rPr>
          <w:rFonts w:ascii="Arial" w:hAnsi="Arial" w:cs="Arial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 a IoT</w:t>
      </w:r>
    </w:p>
    <w:p w14:paraId="3F1888E7" w14:textId="6F3881E6" w:rsidR="00B1429A" w:rsidRPr="00B1429A" w:rsidRDefault="00000000" w:rsidP="00B1429A">
      <w:pPr>
        <w:rPr>
          <w:rFonts w:ascii="Arial" w:hAnsi="Arial" w:cs="Arial"/>
          <w:sz w:val="24"/>
          <w:szCs w:val="24"/>
        </w:rPr>
      </w:pPr>
      <w:r w:rsidRPr="00B1429A">
        <w:rPr>
          <w:rFonts w:ascii="Arial" w:hAnsi="Arial" w:cs="Arial"/>
          <w:sz w:val="24"/>
          <w:szCs w:val="24"/>
        </w:rPr>
        <w:t xml:space="preserve">A Unidade 3 apresenta uma visão aprofundada do papel do Raspberry Pi (Rpi) e dos Single Board Computers (SBCs) no desenvolvimento de aplicações da Internet das Coisas (IoT). Esses dispositivos são fundamentais porque permitem integrar sensores, atuadores e sistemas inteligentes em uma única plataforma compacta e de baixo custo. O Rpi, em especial, destaca-se por sua capacidade de processamento, compatibilidade com diversas linguagens de programação e conexão direta com </w:t>
      </w:r>
      <w:proofErr w:type="gramStart"/>
      <w:r w:rsidRPr="00B1429A">
        <w:rPr>
          <w:rFonts w:ascii="Arial" w:hAnsi="Arial" w:cs="Arial"/>
          <w:sz w:val="24"/>
          <w:szCs w:val="24"/>
        </w:rPr>
        <w:t>a</w:t>
      </w:r>
      <w:proofErr w:type="gramEnd"/>
      <w:r w:rsidRPr="00B1429A">
        <w:rPr>
          <w:rFonts w:ascii="Arial" w:hAnsi="Arial" w:cs="Arial"/>
          <w:sz w:val="24"/>
          <w:szCs w:val="24"/>
        </w:rPr>
        <w:t xml:space="preserve"> internet, o que facilita a criação de </w:t>
      </w:r>
      <w:proofErr w:type="spellStart"/>
      <w:r w:rsidRPr="00B1429A">
        <w:rPr>
          <w:rFonts w:ascii="Arial" w:hAnsi="Arial" w:cs="Arial"/>
          <w:sz w:val="24"/>
          <w:szCs w:val="24"/>
        </w:rPr>
        <w:t>protótipos</w:t>
      </w:r>
      <w:proofErr w:type="spellEnd"/>
      <w:r w:rsidRPr="00B142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429A">
        <w:rPr>
          <w:rFonts w:ascii="Arial" w:hAnsi="Arial" w:cs="Arial"/>
          <w:sz w:val="24"/>
          <w:szCs w:val="24"/>
        </w:rPr>
        <w:t>funcionais</w:t>
      </w:r>
      <w:proofErr w:type="spellEnd"/>
      <w:r w:rsidRPr="00B1429A">
        <w:rPr>
          <w:rFonts w:ascii="Arial" w:hAnsi="Arial" w:cs="Arial"/>
          <w:sz w:val="24"/>
          <w:szCs w:val="24"/>
        </w:rPr>
        <w:t xml:space="preserve"> de IoT.</w:t>
      </w:r>
    </w:p>
    <w:p w14:paraId="790B2D9E" w14:textId="77777777" w:rsidR="002B6C37" w:rsidRPr="00B1429A" w:rsidRDefault="00000000" w:rsidP="00B1429A">
      <w:pPr>
        <w:rPr>
          <w:rFonts w:ascii="Arial" w:hAnsi="Arial" w:cs="Arial"/>
          <w:sz w:val="24"/>
          <w:szCs w:val="24"/>
        </w:rPr>
      </w:pPr>
      <w:r w:rsidRPr="00B1429A">
        <w:rPr>
          <w:rFonts w:ascii="Arial" w:hAnsi="Arial" w:cs="Arial"/>
          <w:sz w:val="24"/>
          <w:szCs w:val="24"/>
        </w:rPr>
        <w:t>A unidade aprofunda o uso dos pinos GPIO (General Purpose Input/Output), que tornam possível a comunicação com sensores como DS18B20 (temperatura), DHT11 (umidade), BMP085 (pressão e altitude), LDR (iluminação) e anemômetros. Cada um desses sensores cumpre um papel essencial em sistemas de monitoramento ambiental, automação residencial e projetos agrícolas inteligentes.</w:t>
      </w:r>
    </w:p>
    <w:p w14:paraId="3CE1F059" w14:textId="77777777" w:rsidR="002B6C37" w:rsidRPr="00B1429A" w:rsidRDefault="00000000" w:rsidP="00B1429A">
      <w:pPr>
        <w:rPr>
          <w:rFonts w:ascii="Arial" w:hAnsi="Arial" w:cs="Arial"/>
          <w:sz w:val="24"/>
          <w:szCs w:val="24"/>
        </w:rPr>
      </w:pPr>
      <w:r w:rsidRPr="00B1429A">
        <w:rPr>
          <w:rFonts w:ascii="Arial" w:hAnsi="Arial" w:cs="Arial"/>
          <w:sz w:val="24"/>
          <w:szCs w:val="24"/>
        </w:rPr>
        <w:t>Outro ponto central da unidade é o uso da linguagem Python em conjunto com frameworks como Flask. Com isso, os dados coletados pelos sensores podem ser publicados em páginas web acessíveis em qualquer lugar, permitindo o controle remoto e a visualização em tempo real. Essa integração com a nuvem é fundamental para aplicações modernas, que exigem mobilidade, escalabilidade e acessibilidade contínua.</w:t>
      </w:r>
    </w:p>
    <w:p w14:paraId="42CE5A2D" w14:textId="77777777" w:rsidR="002B6C37" w:rsidRPr="00B1429A" w:rsidRDefault="00000000" w:rsidP="00B1429A">
      <w:pPr>
        <w:spacing w:before="240" w:after="0"/>
        <w:rPr>
          <w:rFonts w:ascii="Arial" w:hAnsi="Arial" w:cs="Arial"/>
          <w:sz w:val="24"/>
          <w:szCs w:val="24"/>
        </w:rPr>
      </w:pPr>
      <w:r w:rsidRPr="00B1429A">
        <w:rPr>
          <w:rFonts w:ascii="Arial" w:hAnsi="Arial" w:cs="Arial"/>
          <w:sz w:val="24"/>
          <w:szCs w:val="24"/>
        </w:rPr>
        <w:t>A unidade também introduz o uso de algoritmos de Machine Learning no Raspberry Pi. Entre os exemplos apresentados estão o reconhecimento facial utilizando a biblioteca OpenCV e a classificação de imagens para identificar pragas em plantações. O objetivo é mostrar que o Rpi não apenas coleta dados, mas também pode interpretá-los de forma inteligente, automando tarefas antes realizadas manualmente.</w:t>
      </w:r>
    </w:p>
    <w:p w14:paraId="01665402" w14:textId="77777777" w:rsidR="002B6C37" w:rsidRPr="00B1429A" w:rsidRDefault="00000000" w:rsidP="00B1429A">
      <w:pPr>
        <w:spacing w:after="0"/>
        <w:rPr>
          <w:rFonts w:ascii="Arial" w:hAnsi="Arial" w:cs="Arial"/>
          <w:sz w:val="24"/>
          <w:szCs w:val="24"/>
        </w:rPr>
      </w:pPr>
      <w:r w:rsidRPr="00B1429A">
        <w:rPr>
          <w:rFonts w:ascii="Arial" w:hAnsi="Arial" w:cs="Arial"/>
          <w:sz w:val="24"/>
          <w:szCs w:val="24"/>
        </w:rPr>
        <w:t xml:space="preserve">Por fim, a unidade mostra aplicações reais como o porteiro eletrônico inteligente, que une sensores PIR, câmeras e reconhecimento facial; e o monitoramento de lavouras, que combina captura de imagens, sensores climáticos e análise de dados para identificar situações críticas e aumentar </w:t>
      </w:r>
      <w:proofErr w:type="gramStart"/>
      <w:r w:rsidRPr="00B1429A">
        <w:rPr>
          <w:rFonts w:ascii="Arial" w:hAnsi="Arial" w:cs="Arial"/>
          <w:sz w:val="24"/>
          <w:szCs w:val="24"/>
        </w:rPr>
        <w:t>a</w:t>
      </w:r>
      <w:proofErr w:type="gramEnd"/>
      <w:r w:rsidRPr="00B1429A">
        <w:rPr>
          <w:rFonts w:ascii="Arial" w:hAnsi="Arial" w:cs="Arial"/>
          <w:sz w:val="24"/>
          <w:szCs w:val="24"/>
        </w:rPr>
        <w:t xml:space="preserve"> eficiência agrícola.</w:t>
      </w:r>
    </w:p>
    <w:p w14:paraId="09B736C8" w14:textId="1F286BD4" w:rsidR="00B1429A" w:rsidRPr="00B1429A" w:rsidRDefault="00000000" w:rsidP="00B1429A">
      <w:pPr>
        <w:pStyle w:val="Ttulo2"/>
        <w:rPr>
          <w:rFonts w:ascii="Arial" w:hAnsi="Arial" w:cs="Arial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1429A">
        <w:rPr>
          <w:rFonts w:ascii="Arial" w:hAnsi="Arial" w:cs="Arial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Unidade</w:t>
      </w:r>
      <w:proofErr w:type="spellEnd"/>
      <w:r w:rsidRPr="00B1429A">
        <w:rPr>
          <w:rFonts w:ascii="Arial" w:hAnsi="Arial" w:cs="Arial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 – </w:t>
      </w:r>
      <w:proofErr w:type="spellStart"/>
      <w:r w:rsidRPr="00B1429A">
        <w:rPr>
          <w:rFonts w:ascii="Arial" w:hAnsi="Arial" w:cs="Arial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Novos</w:t>
      </w:r>
      <w:proofErr w:type="spellEnd"/>
      <w:r w:rsidRPr="00B1429A">
        <w:rPr>
          <w:rFonts w:ascii="Arial" w:hAnsi="Arial" w:cs="Arial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1429A">
        <w:rPr>
          <w:rFonts w:ascii="Arial" w:hAnsi="Arial" w:cs="Arial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desenvolvimentos</w:t>
      </w:r>
      <w:proofErr w:type="spellEnd"/>
      <w:r w:rsidRPr="00B1429A">
        <w:rPr>
          <w:rFonts w:ascii="Arial" w:hAnsi="Arial" w:cs="Arial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1429A">
        <w:rPr>
          <w:rFonts w:ascii="Arial" w:hAnsi="Arial" w:cs="Arial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B1429A">
        <w:rPr>
          <w:rFonts w:ascii="Arial" w:hAnsi="Arial" w:cs="Arial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IoT</w:t>
      </w:r>
    </w:p>
    <w:p w14:paraId="2BC26C3E" w14:textId="18B8605C" w:rsidR="002B6C37" w:rsidRPr="00B1429A" w:rsidRDefault="00000000">
      <w:pPr>
        <w:rPr>
          <w:rFonts w:ascii="Arial" w:hAnsi="Arial" w:cs="Arial"/>
          <w:sz w:val="24"/>
          <w:szCs w:val="24"/>
        </w:rPr>
      </w:pPr>
      <w:r w:rsidRPr="00B1429A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B1429A">
        <w:rPr>
          <w:rFonts w:ascii="Arial" w:hAnsi="Arial" w:cs="Arial"/>
          <w:sz w:val="24"/>
          <w:szCs w:val="24"/>
        </w:rPr>
        <w:t>Unidade</w:t>
      </w:r>
      <w:proofErr w:type="spellEnd"/>
      <w:r w:rsidRPr="00B1429A">
        <w:rPr>
          <w:rFonts w:ascii="Arial" w:hAnsi="Arial" w:cs="Arial"/>
          <w:sz w:val="24"/>
          <w:szCs w:val="24"/>
        </w:rPr>
        <w:t xml:space="preserve"> 4 </w:t>
      </w:r>
      <w:proofErr w:type="spellStart"/>
      <w:r w:rsidRPr="00B1429A">
        <w:rPr>
          <w:rFonts w:ascii="Arial" w:hAnsi="Arial" w:cs="Arial"/>
          <w:sz w:val="24"/>
          <w:szCs w:val="24"/>
        </w:rPr>
        <w:t>explora</w:t>
      </w:r>
      <w:proofErr w:type="spellEnd"/>
      <w:r w:rsidRPr="00B1429A">
        <w:rPr>
          <w:rFonts w:ascii="Arial" w:hAnsi="Arial" w:cs="Arial"/>
          <w:sz w:val="24"/>
          <w:szCs w:val="24"/>
        </w:rPr>
        <w:t xml:space="preserve"> conceitos mais avançados da IoT e suas aplicações práticas em grande escala. Um dos temas principais é a computação em neblina (fog computing) e a computação de borda (edge computing). Essas tecnologias surgiram para resolver problemas de latência e excesso de tráfego de dados enviados para a nuvem. Em vez de enviar tudo para servidores distantes, parte </w:t>
      </w:r>
      <w:proofErr w:type="gramStart"/>
      <w:r w:rsidRPr="00B1429A">
        <w:rPr>
          <w:rFonts w:ascii="Arial" w:hAnsi="Arial" w:cs="Arial"/>
          <w:sz w:val="24"/>
          <w:szCs w:val="24"/>
        </w:rPr>
        <w:lastRenderedPageBreak/>
        <w:t>do</w:t>
      </w:r>
      <w:proofErr w:type="gramEnd"/>
      <w:r w:rsidRPr="00B1429A">
        <w:rPr>
          <w:rFonts w:ascii="Arial" w:hAnsi="Arial" w:cs="Arial"/>
          <w:sz w:val="24"/>
          <w:szCs w:val="24"/>
        </w:rPr>
        <w:t xml:space="preserve"> processamento é feita localmente, reduzindo atrasos e permitindo respostas mais rápidas em situações críticas.</w:t>
      </w:r>
    </w:p>
    <w:p w14:paraId="5CBF4490" w14:textId="77777777" w:rsidR="002B6C37" w:rsidRPr="00B1429A" w:rsidRDefault="00000000">
      <w:pPr>
        <w:rPr>
          <w:rFonts w:ascii="Arial" w:hAnsi="Arial" w:cs="Arial"/>
          <w:sz w:val="24"/>
          <w:szCs w:val="24"/>
        </w:rPr>
      </w:pPr>
      <w:r w:rsidRPr="00B1429A">
        <w:rPr>
          <w:rFonts w:ascii="Arial" w:hAnsi="Arial" w:cs="Arial"/>
          <w:sz w:val="24"/>
          <w:szCs w:val="24"/>
        </w:rPr>
        <w:t xml:space="preserve">A unidade também destaca como a IoT está transformando ambientes urbanos por meio das cidades inteligentes. Nelas, sensores são utilizados para monitorar iluminação pública, trânsito, qualidade do ar, segurança, consumo de energia, entre outros fatores. </w:t>
      </w:r>
      <w:proofErr w:type="gramStart"/>
      <w:r w:rsidRPr="00B1429A">
        <w:rPr>
          <w:rFonts w:ascii="Arial" w:hAnsi="Arial" w:cs="Arial"/>
          <w:sz w:val="24"/>
          <w:szCs w:val="24"/>
        </w:rPr>
        <w:t>A</w:t>
      </w:r>
      <w:proofErr w:type="gramEnd"/>
      <w:r w:rsidRPr="00B1429A">
        <w:rPr>
          <w:rFonts w:ascii="Arial" w:hAnsi="Arial" w:cs="Arial"/>
          <w:sz w:val="24"/>
          <w:szCs w:val="24"/>
        </w:rPr>
        <w:t xml:space="preserve"> integração de dados em sistemas de nuvem e em plataformas locais permite que gestores tomem decisões mais rápidas e eficientes, contribuindo para um ambiente urbano mais sustentável e tecnológico.</w:t>
      </w:r>
    </w:p>
    <w:p w14:paraId="30B63170" w14:textId="77777777" w:rsidR="002B6C37" w:rsidRPr="00B1429A" w:rsidRDefault="00000000">
      <w:pPr>
        <w:rPr>
          <w:rFonts w:ascii="Arial" w:hAnsi="Arial" w:cs="Arial"/>
          <w:sz w:val="24"/>
          <w:szCs w:val="24"/>
        </w:rPr>
      </w:pPr>
      <w:r w:rsidRPr="00B1429A">
        <w:rPr>
          <w:rFonts w:ascii="Arial" w:hAnsi="Arial" w:cs="Arial"/>
          <w:sz w:val="24"/>
          <w:szCs w:val="24"/>
        </w:rPr>
        <w:t>Outro tópico importante são os edifícios inteligentes, que utilizam IoT para controlar temperatura, iluminação, segurança, consumo energético e conforto dos moradores. Sistemas automatizados permitem reduzir desperdícios, monitorar o ambiente em tempo real e garantir maior eficiência operacional.</w:t>
      </w:r>
    </w:p>
    <w:p w14:paraId="58936975" w14:textId="77777777" w:rsidR="002B6C37" w:rsidRPr="00B1429A" w:rsidRDefault="00000000">
      <w:pPr>
        <w:rPr>
          <w:rFonts w:ascii="Arial" w:hAnsi="Arial" w:cs="Arial"/>
          <w:sz w:val="24"/>
          <w:szCs w:val="24"/>
        </w:rPr>
      </w:pPr>
      <w:r w:rsidRPr="00B1429A">
        <w:rPr>
          <w:rFonts w:ascii="Arial" w:hAnsi="Arial" w:cs="Arial"/>
          <w:sz w:val="24"/>
          <w:szCs w:val="24"/>
        </w:rPr>
        <w:t>A unidade também aborda o conceito de redes elétricas inteligentes (smart grids), que utilizam sensores, automação e análise de dados para otimizar a distribuição de energia e reduzir falhas. Essa tecnologia representa uma evolução essencial para o futuro das cidades, garantindo um fornecimento mais estável e seguro.</w:t>
      </w:r>
    </w:p>
    <w:p w14:paraId="2A418A31" w14:textId="77777777" w:rsidR="002B6C37" w:rsidRPr="00B1429A" w:rsidRDefault="00000000">
      <w:pPr>
        <w:rPr>
          <w:rFonts w:ascii="Arial" w:hAnsi="Arial" w:cs="Arial"/>
          <w:sz w:val="24"/>
          <w:szCs w:val="24"/>
        </w:rPr>
      </w:pPr>
      <w:r w:rsidRPr="00B1429A">
        <w:rPr>
          <w:rFonts w:ascii="Arial" w:hAnsi="Arial" w:cs="Arial"/>
          <w:sz w:val="24"/>
          <w:szCs w:val="24"/>
        </w:rPr>
        <w:t>Por fim, é apresentada uma aplicação prática envolvendo o monitoramento remoto de pacientes. O sistema utiliza dispositivos vestíveis (smartbands e smartwatches), smartphones como gateways e uma central médica conectada. Em caso de anomalia nos sinais vitais, o sistema pode acionar automaticamente serviços de emergência, demonstrando o impacto da IoT no setor de saúde.</w:t>
      </w:r>
    </w:p>
    <w:sectPr w:rsidR="002B6C37" w:rsidRPr="00B1429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BAF31" w14:textId="77777777" w:rsidR="00DF0EBB" w:rsidRDefault="00DF0EBB" w:rsidP="00B1429A">
      <w:pPr>
        <w:spacing w:after="0" w:line="240" w:lineRule="auto"/>
      </w:pPr>
      <w:r>
        <w:separator/>
      </w:r>
    </w:p>
  </w:endnote>
  <w:endnote w:type="continuationSeparator" w:id="0">
    <w:p w14:paraId="467BAB02" w14:textId="77777777" w:rsidR="00DF0EBB" w:rsidRDefault="00DF0EBB" w:rsidP="00B14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D5382" w14:textId="77777777" w:rsidR="00DF0EBB" w:rsidRDefault="00DF0EBB" w:rsidP="00B1429A">
      <w:pPr>
        <w:spacing w:after="0" w:line="240" w:lineRule="auto"/>
      </w:pPr>
      <w:r>
        <w:separator/>
      </w:r>
    </w:p>
  </w:footnote>
  <w:footnote w:type="continuationSeparator" w:id="0">
    <w:p w14:paraId="7EDDEA5D" w14:textId="77777777" w:rsidR="00DF0EBB" w:rsidRDefault="00DF0EBB" w:rsidP="00B142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9D1C6" w14:textId="746EB16C" w:rsidR="00B1429A" w:rsidRPr="00B1429A" w:rsidRDefault="00B1429A" w:rsidP="00B1429A">
    <w:pPr>
      <w:pStyle w:val="Cabealho"/>
      <w:jc w:val="center"/>
      <w:rPr>
        <w:rFonts w:ascii="Arial" w:hAnsi="Arial" w:cs="Arial"/>
        <w:sz w:val="28"/>
        <w:szCs w:val="28"/>
      </w:rPr>
    </w:pPr>
    <w:proofErr w:type="spellStart"/>
    <w:r w:rsidRPr="00B1429A">
      <w:rPr>
        <w:rFonts w:ascii="Arial" w:hAnsi="Arial" w:cs="Arial"/>
        <w:sz w:val="28"/>
        <w:szCs w:val="28"/>
      </w:rPr>
      <w:t>Resumo</w:t>
    </w:r>
    <w:proofErr w:type="spellEnd"/>
    <w:r w:rsidRPr="00B1429A">
      <w:rPr>
        <w:rFonts w:ascii="Arial" w:hAnsi="Arial" w:cs="Arial"/>
        <w:sz w:val="28"/>
        <w:szCs w:val="28"/>
      </w:rPr>
      <w:t xml:space="preserve"> das </w:t>
    </w:r>
    <w:proofErr w:type="spellStart"/>
    <w:r w:rsidRPr="00B1429A">
      <w:rPr>
        <w:rFonts w:ascii="Arial" w:hAnsi="Arial" w:cs="Arial"/>
        <w:sz w:val="28"/>
        <w:szCs w:val="28"/>
      </w:rPr>
      <w:t>Unidades</w:t>
    </w:r>
    <w:proofErr w:type="spellEnd"/>
    <w:r w:rsidRPr="00B1429A">
      <w:rPr>
        <w:rFonts w:ascii="Arial" w:hAnsi="Arial" w:cs="Arial"/>
        <w:sz w:val="28"/>
        <w:szCs w:val="28"/>
      </w:rPr>
      <w:t xml:space="preserve"> 3 e 4 – Internet das Coisas (IoT)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261336">
    <w:abstractNumId w:val="8"/>
  </w:num>
  <w:num w:numId="2" w16cid:durableId="1509558005">
    <w:abstractNumId w:val="6"/>
  </w:num>
  <w:num w:numId="3" w16cid:durableId="365259282">
    <w:abstractNumId w:val="5"/>
  </w:num>
  <w:num w:numId="4" w16cid:durableId="400517603">
    <w:abstractNumId w:val="4"/>
  </w:num>
  <w:num w:numId="5" w16cid:durableId="1916279268">
    <w:abstractNumId w:val="7"/>
  </w:num>
  <w:num w:numId="6" w16cid:durableId="636761708">
    <w:abstractNumId w:val="3"/>
  </w:num>
  <w:num w:numId="7" w16cid:durableId="592786387">
    <w:abstractNumId w:val="2"/>
  </w:num>
  <w:num w:numId="8" w16cid:durableId="781801405">
    <w:abstractNumId w:val="1"/>
  </w:num>
  <w:num w:numId="9" w16cid:durableId="1288007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C37"/>
    <w:rsid w:val="00326F90"/>
    <w:rsid w:val="00AA1D8D"/>
    <w:rsid w:val="00B1429A"/>
    <w:rsid w:val="00B47730"/>
    <w:rsid w:val="00B704EA"/>
    <w:rsid w:val="00C708D4"/>
    <w:rsid w:val="00CB0664"/>
    <w:rsid w:val="00DF0E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70677DF-EA53-4AD3-A5B9-AD264D2E8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631</Words>
  <Characters>3410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A5298</cp:lastModifiedBy>
  <cp:revision>3</cp:revision>
  <dcterms:created xsi:type="dcterms:W3CDTF">2013-12-23T23:15:00Z</dcterms:created>
  <dcterms:modified xsi:type="dcterms:W3CDTF">2025-11-21T03:57:00Z</dcterms:modified>
  <cp:category/>
</cp:coreProperties>
</file>