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sz w:val="18"/>
        </w:rPr>
        <w:t xml:space="preserve">Table 1. </w:t>
      </w:r>
      <w:r>
        <w:rPr>
          <w:rFonts w:ascii="Arial" w:hAnsi="Arial"/>
          <w:sz w:val="18"/>
        </w:rPr>
        <w:t>Location, orientation and dynamics of each amino acid in the SDS/DeOH aggregate, from the molecular dynamics simulations. All quantities are averaged over the 100–200 ns interval in five 20 ns blocks; uncertainties are standard errors over blocks. The contact fraction uses a 0.4 nm heavy-atom cut-off; depths are measured from the bilayer centre; θ is the angle between the Cα→side-chain vector and the outward monolayer normal; states and their populations come from k-means clustering with the number of states chosen by mean silhouette. Every amino-acid quantity derives from a single molecule per box and is therefore used as an ordering across the four amino acids, not as an absolute value.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628"/>
        <w:gridCol w:w="1417"/>
        <w:gridCol w:w="1417"/>
        <w:gridCol w:w="1417"/>
        <w:gridCol w:w="1417"/>
      </w:tblGrid>
      <w:tr>
        <w:tc>
          <w:tcPr>
            <w:tcW w:type="dxa" w:w="3628"/>
            <w:tcBorders>
              <w:top w:val="single" w:sz="8" w:color="000000"/>
              <w:bottom w:val="single" w:sz="8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17"/>
            <w:tcBorders>
              <w:top w:val="single" w:sz="8" w:color="000000"/>
              <w:bottom w:val="single" w:sz="8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8"/>
              </w:rPr>
              <w:t>ALA</w:t>
            </w:r>
          </w:p>
        </w:tc>
        <w:tc>
          <w:tcPr>
            <w:tcW w:type="dxa" w:w="1417"/>
            <w:tcBorders>
              <w:top w:val="single" w:sz="8" w:color="000000"/>
              <w:bottom w:val="single" w:sz="8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8"/>
              </w:rPr>
              <w:t>GLU</w:t>
            </w:r>
          </w:p>
        </w:tc>
        <w:tc>
          <w:tcPr>
            <w:tcW w:type="dxa" w:w="1417"/>
            <w:tcBorders>
              <w:top w:val="single" w:sz="8" w:color="000000"/>
              <w:bottom w:val="single" w:sz="8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8"/>
              </w:rPr>
              <w:t>LEU</w:t>
            </w:r>
          </w:p>
        </w:tc>
        <w:tc>
          <w:tcPr>
            <w:tcW w:type="dxa" w:w="1417"/>
            <w:tcBorders>
              <w:top w:val="single" w:sz="8" w:color="000000"/>
              <w:bottom w:val="single" w:sz="8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8"/>
              </w:rPr>
              <w:t>MET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Contact fraction </w:t>
            </w:r>
            <w:r>
              <w:rPr>
                <w:rFonts w:ascii="Arial" w:hAnsi="Arial"/>
                <w:b w:val="0"/>
                <w:i/>
                <w:sz w:val="18"/>
              </w:rPr>
              <w:t>f</w:t>
            </w:r>
            <w:r>
              <w:rPr>
                <w:rFonts w:ascii="Arial" w:hAnsi="Arial"/>
                <w:b w:val="0"/>
                <w:i w:val="0"/>
                <w:sz w:val="18"/>
                <w:vertAlign w:val="subscript"/>
              </w:rPr>
              <w:t>b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0.93 ± 0.03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8"/>
              </w:rPr>
              <w:t>0.65 ± 0.12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1.00 ± 0.00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0.97 ± 0.01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Side-chain density max. / nm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1.74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1.98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1.14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8"/>
              </w:rPr>
              <w:t>1.02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⟨</w:t>
            </w:r>
            <w:r>
              <w:rPr>
                <w:rFonts w:ascii="Arial" w:hAnsi="Arial"/>
                <w:b w:val="0"/>
                <w:i/>
                <w:sz w:val="18"/>
              </w:rPr>
              <w:t>θ</w:t>
            </w:r>
            <w:r>
              <w:rPr>
                <w:rFonts w:ascii="Arial" w:hAnsi="Arial"/>
                <w:b w:val="0"/>
                <w:i w:val="0"/>
                <w:sz w:val="18"/>
              </w:rPr>
              <w:t>⟩ / degrees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152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States (populations / %)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2 (75/25)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3 (44/41/15)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3 (45/42/13)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2 (57/43)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H-bonds with the aggregate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1.11 ± 0.10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8"/>
              </w:rPr>
              <w:t>0.83 ± 0.24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1.22 ± 0.04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1.27 ± 0.05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H-bonds with water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3.96 ± 0.12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8"/>
              </w:rPr>
              <w:t>9.42 ± 0.57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2.92 ± 0.20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3.41 ± 0.24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/>
                <w:sz w:val="18"/>
              </w:rPr>
              <w:t>D</w:t>
            </w:r>
            <w:r>
              <w:rPr>
                <w:rFonts w:ascii="Arial" w:hAnsi="Arial"/>
                <w:b w:val="0"/>
                <w:i w:val="0"/>
                <w:sz w:val="18"/>
                <w:vertAlign w:val="subscript"/>
              </w:rPr>
              <w:t>lat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/ 10</w:t>
            </w:r>
            <w:r>
              <w:rPr>
                <w:rFonts w:ascii="Arial" w:hAnsi="Arial"/>
                <w:b w:val="0"/>
                <w:i w:val="0"/>
                <w:sz w:val="18"/>
                <w:vertAlign w:val="superscript"/>
              </w:rPr>
              <w:t>−7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cm</w:t>
            </w:r>
            <w:r>
              <w:rPr>
                <w:rFonts w:ascii="Arial" w:hAnsi="Arial"/>
                <w:b w:val="0"/>
                <w:i w:val="0"/>
                <w:sz w:val="18"/>
                <w:vertAlign w:val="superscript"/>
              </w:rPr>
              <w:t>2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s</w:t>
            </w:r>
            <w:r>
              <w:rPr>
                <w:rFonts w:ascii="Arial" w:hAnsi="Arial"/>
                <w:b w:val="0"/>
                <w:i w:val="0"/>
                <w:sz w:val="18"/>
                <w:vertAlign w:val="superscript"/>
              </w:rPr>
              <w:t>−1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19.2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8"/>
              </w:rPr>
              <w:t>58.7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4.1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/>
                <w:sz w:val="18"/>
              </w:rPr>
              <w:t>τ</w:t>
            </w:r>
            <w:r>
              <w:rPr>
                <w:rFonts w:ascii="Arial" w:hAnsi="Arial"/>
                <w:b w:val="0"/>
                <w:i w:val="0"/>
                <w:sz w:val="18"/>
              </w:rPr>
              <w:t>, Cα→side-chain axis / ps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374 ± 35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451 ± 160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552 ± 78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594 ± 92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Mean Δν</w:t>
            </w:r>
            <w:r>
              <w:rPr>
                <w:rFonts w:ascii="Arial" w:hAnsi="Arial"/>
                <w:b w:val="0"/>
                <w:i w:val="0"/>
                <w:sz w:val="18"/>
                <w:vertAlign w:val="subscript"/>
              </w:rPr>
              <w:t>Q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simulated / Hz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+69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+107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+66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−21</w:t>
            </w:r>
          </w:p>
        </w:tc>
      </w:tr>
      <w:tr>
        <w:tc>
          <w:tcPr>
            <w:tcW w:type="dxa" w:w="3628"/>
            <w:tcBorders>
              <w:bottom w:val="single" w:sz="8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Mean Δν</w:t>
            </w:r>
            <w:r>
              <w:rPr>
                <w:rFonts w:ascii="Arial" w:hAnsi="Arial"/>
                <w:b w:val="0"/>
                <w:i w:val="0"/>
                <w:sz w:val="18"/>
                <w:vertAlign w:val="subscript"/>
              </w:rPr>
              <w:t>Q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measured / Hz</w:t>
            </w:r>
          </w:p>
        </w:tc>
        <w:tc>
          <w:tcPr>
            <w:tcW w:type="dxa" w:w="1417"/>
            <w:tcBorders>
              <w:bottom w:val="single" w:sz="8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−93</w:t>
            </w:r>
          </w:p>
        </w:tc>
        <w:tc>
          <w:tcPr>
            <w:tcW w:type="dxa" w:w="1417"/>
            <w:tcBorders>
              <w:bottom w:val="single" w:sz="8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−1256</w:t>
            </w:r>
          </w:p>
        </w:tc>
        <w:tc>
          <w:tcPr>
            <w:tcW w:type="dxa" w:w="1417"/>
            <w:tcBorders>
              <w:bottom w:val="single" w:sz="8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−1548</w:t>
            </w:r>
          </w:p>
        </w:tc>
        <w:tc>
          <w:tcPr>
            <w:tcW w:type="dxa" w:w="1417"/>
            <w:tcBorders>
              <w:bottom w:val="single" w:sz="8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−1534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