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/>
        <w:rPr/>
      </w:pPr>
      <w:r>
        <w:rPr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Практическое задание к Л. 8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Задание: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Необходимо из 22 представленных мотивов выбрать 10, которые являются наиболее важными для менеджера.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Проранжировать выбранные 10 мотивов – определить их приоритетность.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Исследования показали, что менеджера стимулируют к хорошей работе следующие мотивы: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Престиж, удовольствие, удовлетворение.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Власть и влияние.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Присутствие элемента состязательности.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Возможность самореализации как личности.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Высокий жизненный уровень, обеспечиваемый оплатой труда.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6. Возможности для карьеры.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7. Самостоятельность.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Условия для реализации своих идей.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Интересная деятельность.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Продолжительный отпуск.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Короткий рабочий день.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12. Гибкий рабочий график.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13. Признание.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14. Здоровый рабочий климат.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15. Надежное рабочее место.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16. Хорошее обеспечение в старости.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17. Хороший стиль управления.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18. Хорошие санитарно-гигиенические условия труда.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19. Степень автоматизации труда.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20. Перспектива на получение жилья.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21. Сплоченный коллектив,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22. Спокойная работа с четко определенным кругом обязанностей.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Методические указания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Используется метод попарных сравнений. Каждому из студентов предлагается выбрать 10 мотивов самостоятельно. Затем в результате голосования выбираются 10 мотивов, набравшие наибольшее число голосов, которые заносятся в таблицу 1. Затем таблицу 1 заполняет каждый участник (или бригада), выполняющий практическое задание, и определяет суммарное значение в баллах по каждому из мотивов. Затем эти данные каждый участник (или бригада) 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заносит в таблицу 2, выступая в роли эксперта 1, 2 ... 10. Количество экспертов в таблице 2 может быть увеличено до числа участников, выполняющих задание. Обработка данных таблицы 2 позволит проранжировать выбранные 10 мотивов.</w:t>
      </w:r>
    </w:p>
    <w:p>
      <w:pPr>
        <w:pStyle w:val="Normal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Решение</w:t>
      </w:r>
    </w:p>
    <w:p>
      <w:pPr>
        <w:pStyle w:val="Normal"/>
        <w:jc w:val="both"/>
        <w:rPr/>
      </w:pPr>
      <w:r>
        <w:rPr/>
        <w:tab/>
      </w:r>
      <w:r>
        <w:rPr>
          <w:rFonts w:ascii="Times New Roman" w:hAnsi="Times New Roman"/>
          <w:sz w:val="28"/>
          <w:szCs w:val="28"/>
        </w:rPr>
        <w:t>Оценку мотивов будем проводить по шкале от 0 до 2.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Матрица попарных сравнений мотивов трудовой деятельности, заполненная экспертом №1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2"/>
        <w:gridCol w:w="1964"/>
        <w:gridCol w:w="988"/>
        <w:gridCol w:w="989"/>
        <w:gridCol w:w="989"/>
        <w:gridCol w:w="990"/>
        <w:gridCol w:w="990"/>
        <w:gridCol w:w="990"/>
        <w:gridCol w:w="990"/>
        <w:gridCol w:w="990"/>
        <w:gridCol w:w="990"/>
        <w:gridCol w:w="782"/>
        <w:gridCol w:w="1805"/>
      </w:tblGrid>
      <w:tr>
        <w:trPr/>
        <w:tc>
          <w:tcPr>
            <w:tcW w:w="110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964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9688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Суммарное значение, баллы</w:t>
            </w:r>
          </w:p>
        </w:tc>
      </w:tr>
      <w:tr>
        <w:trPr>
          <w:trHeight w:val="206" w:hRule="atLeast"/>
        </w:trPr>
        <w:tc>
          <w:tcPr>
            <w:tcW w:w="110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6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14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-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–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3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2 – Матрица попарных сравнений мотивов трудовой деятельности, заполненная экспертом №2 (Qwen)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2"/>
        <w:gridCol w:w="1964"/>
        <w:gridCol w:w="988"/>
        <w:gridCol w:w="989"/>
        <w:gridCol w:w="989"/>
        <w:gridCol w:w="990"/>
        <w:gridCol w:w="990"/>
        <w:gridCol w:w="990"/>
        <w:gridCol w:w="990"/>
        <w:gridCol w:w="990"/>
        <w:gridCol w:w="990"/>
        <w:gridCol w:w="782"/>
        <w:gridCol w:w="1805"/>
      </w:tblGrid>
      <w:tr>
        <w:trPr/>
        <w:tc>
          <w:tcPr>
            <w:tcW w:w="110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964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9688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Суммарное значение, баллы</w:t>
            </w:r>
          </w:p>
        </w:tc>
      </w:tr>
      <w:tr>
        <w:trPr>
          <w:trHeight w:val="206" w:hRule="atLeast"/>
        </w:trPr>
        <w:tc>
          <w:tcPr>
            <w:tcW w:w="110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6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=SUM(C3:L3)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15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=SUM(C4:L4)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=SUM(C5:L5)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=SUM(C6:L6)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=SUM(C7:L7)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=SUM(C8:L8)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=SUM(C9:L9)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5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=SUM(C10:L10)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=SUM(C11:L11)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5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–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=SUM(C12:L12)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0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 – Матрица попарных сравнений мотивов трудовой деятельности, заполненная экспертом №3 (Deepseek)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2"/>
        <w:gridCol w:w="1964"/>
        <w:gridCol w:w="988"/>
        <w:gridCol w:w="989"/>
        <w:gridCol w:w="989"/>
        <w:gridCol w:w="990"/>
        <w:gridCol w:w="990"/>
        <w:gridCol w:w="990"/>
        <w:gridCol w:w="990"/>
        <w:gridCol w:w="990"/>
        <w:gridCol w:w="990"/>
        <w:gridCol w:w="782"/>
        <w:gridCol w:w="1805"/>
      </w:tblGrid>
      <w:tr>
        <w:trPr/>
        <w:tc>
          <w:tcPr>
            <w:tcW w:w="110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964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9688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Суммарное значение, баллы</w:t>
            </w:r>
          </w:p>
        </w:tc>
      </w:tr>
      <w:tr>
        <w:trPr>
          <w:trHeight w:val="206" w:hRule="atLeast"/>
        </w:trPr>
        <w:tc>
          <w:tcPr>
            <w:tcW w:w="110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6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=SUM(C3:L3)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=SUM(C4:L4)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=SUM(C5:L5)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=SUM(C6:L6)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=SUM(C7:L7)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=SUM(C8:L8)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=SUM(C9:L9)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=SUM(C10:L10)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10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=SUM(C11:L11)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9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–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=SUM(C12:L12)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4 – Матрица попарных сравнений мотивов трудовой деятельности, заполненная экспертом №4 (GLM-5)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2"/>
        <w:gridCol w:w="1964"/>
        <w:gridCol w:w="988"/>
        <w:gridCol w:w="989"/>
        <w:gridCol w:w="989"/>
        <w:gridCol w:w="990"/>
        <w:gridCol w:w="990"/>
        <w:gridCol w:w="990"/>
        <w:gridCol w:w="990"/>
        <w:gridCol w:w="990"/>
        <w:gridCol w:w="990"/>
        <w:gridCol w:w="782"/>
        <w:gridCol w:w="1805"/>
      </w:tblGrid>
      <w:tr>
        <w:trPr/>
        <w:tc>
          <w:tcPr>
            <w:tcW w:w="110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964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9688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Суммарное значение, баллы</w:t>
            </w:r>
          </w:p>
        </w:tc>
      </w:tr>
      <w:tr>
        <w:trPr>
          <w:trHeight w:val="206" w:hRule="atLeast"/>
        </w:trPr>
        <w:tc>
          <w:tcPr>
            <w:tcW w:w="110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6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=SUM(C3:L3)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=SUM(C4:L4)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=SUM(C5:L5)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11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=SUM(C6:L6)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10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=SUM(C7:L7)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=SUM(C8:L8)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=SUM(C9:L9)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8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=SUM(C10:L10)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3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=SUM(C11:L11)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=SUM(C12:L12)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5 – Матрица попарных сравнений мотивов трудовой деятельности, заполненная экспертом №5 (ChatGPT)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02"/>
        <w:gridCol w:w="1964"/>
        <w:gridCol w:w="988"/>
        <w:gridCol w:w="989"/>
        <w:gridCol w:w="989"/>
        <w:gridCol w:w="990"/>
        <w:gridCol w:w="990"/>
        <w:gridCol w:w="990"/>
        <w:gridCol w:w="990"/>
        <w:gridCol w:w="990"/>
        <w:gridCol w:w="990"/>
        <w:gridCol w:w="782"/>
        <w:gridCol w:w="1805"/>
      </w:tblGrid>
      <w:tr>
        <w:trPr/>
        <w:tc>
          <w:tcPr>
            <w:tcW w:w="110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964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9688" w:type="dxa"/>
            <w:gridSpan w:val="10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805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Суммарное значение, баллы</w:t>
            </w:r>
          </w:p>
        </w:tc>
      </w:tr>
      <w:tr>
        <w:trPr>
          <w:trHeight w:val="206" w:hRule="atLeast"/>
        </w:trPr>
        <w:tc>
          <w:tcPr>
            <w:tcW w:w="110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6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7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80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=SUM(D3:L3)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=SUM(C4:L4)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=SUM(C5:L5)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11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=SUM(C7:L7)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9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=SUM(C8:L8)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8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=SUM(C9:L9)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9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=SUM(C11:L11)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  <w:tr>
        <w:trPr/>
        <w:tc>
          <w:tcPr>
            <w:tcW w:w="11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9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988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89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0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990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782" w:type="dxa"/>
            <w:tcBorders/>
          </w:tcPr>
          <w:p>
            <w:pPr>
              <w:pStyle w:val="Style18"/>
              <w:widowControl/>
              <w:suppressAutoHyphens w:val="true"/>
              <w:spacing w:lineRule="auto" w:line="240" w:before="0" w:after="16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–</w:t>
            </w:r>
          </w:p>
        </w:tc>
        <w:tc>
          <w:tcPr>
            <w:tcW w:w="1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=SUM(C12:L12)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10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 – Сводная матрица попарных сравнений мотивов трудовой деятельности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9"/>
        <w:gridCol w:w="1833"/>
        <w:gridCol w:w="814"/>
        <w:gridCol w:w="812"/>
        <w:gridCol w:w="814"/>
        <w:gridCol w:w="816"/>
        <w:gridCol w:w="2788"/>
        <w:gridCol w:w="4208"/>
        <w:gridCol w:w="1444"/>
      </w:tblGrid>
      <w:tr>
        <w:trPr/>
        <w:tc>
          <w:tcPr>
            <w:tcW w:w="1029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1833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6044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эксперта</w:t>
            </w:r>
          </w:p>
        </w:tc>
        <w:tc>
          <w:tcPr>
            <w:tcW w:w="4208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Среднеарифметическое значение, баллы</w:t>
            </w:r>
          </w:p>
        </w:tc>
        <w:tc>
          <w:tcPr>
            <w:tcW w:w="1444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Ранг мотива</w:t>
            </w:r>
          </w:p>
        </w:tc>
      </w:tr>
      <w:tr>
        <w:trPr>
          <w:trHeight w:val="206" w:hRule="atLeast"/>
        </w:trPr>
        <w:tc>
          <w:tcPr>
            <w:tcW w:w="102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3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8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8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27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420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4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029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33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044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Значения в баллах</w:t>
            </w:r>
          </w:p>
        </w:tc>
        <w:tc>
          <w:tcPr>
            <w:tcW w:w="4208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44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=AVERAGE(C4:G4)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15,2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=AVERAGE(C5:G5)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11,2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=AVERAGE(C6:G6)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10,6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=AVERAGE(C7:G7)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8,6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=AVERAGE(C8:G8)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13,4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=AVERAGE(C9:G9)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=AVERAGE(C10:G10)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8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=AVERAGE(C11:G11)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7,4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=AVERAGE(C12:G12)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5,6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10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1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12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81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788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42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rFonts w:cs="Times New Roman" w:ascii="Times New Roman" w:hAnsi="Times New Roman"/>
              </w:rPr>
              <w:instrText xml:space="preserve"> =AVERAGE(C13:G13)</w:instrTex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separate"/>
            </w:r>
            <w:r>
              <w:rPr>
                <w:sz w:val="20"/>
                <w:szCs w:val="20"/>
                <w:rFonts w:cs="Times New Roman" w:ascii="Times New Roman" w:hAnsi="Times New Roman"/>
              </w:rPr>
              <w:t>3,4</w:t>
            </w:r>
            <w:r>
              <w:rPr>
                <w:sz w:val="20"/>
                <w:szCs w:val="20"/>
                <w:rFonts w:cs="Times New Roman" w:ascii="Times New Roman" w:hAnsi="Times New Roman"/>
              </w:rPr>
              <w:fldChar w:fldCharType="end"/>
            </w:r>
          </w:p>
        </w:tc>
        <w:tc>
          <w:tcPr>
            <w:tcW w:w="1444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4 — Результат сравнения мотивов трудовой деятельности</w:t>
      </w:r>
    </w:p>
    <w:tbl>
      <w:tblPr>
        <w:tblStyle w:val="a3"/>
        <w:tblW w:w="145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0"/>
        <w:gridCol w:w="5684"/>
        <w:gridCol w:w="5686"/>
      </w:tblGrid>
      <w:tr>
        <w:trPr/>
        <w:tc>
          <w:tcPr>
            <w:tcW w:w="3190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Номер мотива</w:t>
            </w:r>
          </w:p>
        </w:tc>
        <w:tc>
          <w:tcPr>
            <w:tcW w:w="5684" w:type="dxa"/>
            <w:vMerge w:val="restart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Наименование мотива</w:t>
            </w:r>
          </w:p>
        </w:tc>
        <w:tc>
          <w:tcPr>
            <w:tcW w:w="568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Ранг мотива</w:t>
            </w:r>
          </w:p>
        </w:tc>
      </w:tr>
      <w:tr>
        <w:trPr>
          <w:trHeight w:val="206" w:hRule="atLeast"/>
        </w:trPr>
        <w:tc>
          <w:tcPr>
            <w:tcW w:w="31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684" w:type="dxa"/>
            <w:vMerge w:val="continue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68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3190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684" w:type="dxa"/>
            <w:vMerge w:val="continue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68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Возможность самореализации как личности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Интересная деятельность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Высокий жизненный уровень, обеспечиваемый оплатой труда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Условия для реализации своих идей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Возможности для карьеры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Здоровый рабочий климат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Сплоченный коллектив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Признание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Престиж, удовольствие, удовлетворение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5684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Спокойная работа с четко определенным кругом обязанностей</w:t>
            </w:r>
          </w:p>
        </w:tc>
        <w:tc>
          <w:tcPr>
            <w:tcW w:w="5686" w:type="dxa"/>
            <w:tcBorders/>
          </w:tcPr>
          <w:p>
            <w:pPr>
              <w:pStyle w:val="Normal"/>
              <w:tabs>
                <w:tab w:val="clear" w:pos="708"/>
              </w:tabs>
              <w:suppressAutoHyphens w:val="true"/>
              <w:spacing w:before="0" w:after="16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результате</w:t>
      </w:r>
      <w:r>
        <w:rPr>
          <w:rFonts w:cs="Times New Roman" w:ascii="Times New Roman" w:hAnsi="Times New Roman"/>
          <w:sz w:val="28"/>
          <w:szCs w:val="28"/>
        </w:rPr>
        <w:t xml:space="preserve"> проведённого анализа мотивов трудовой деятельности с использованием метода попарных сравнений было установлено, что наибольшее влияние на мотивацию работников оказывают факторы, связанные с содержанием труда и возможностями личностного и профессионального развития. Наивысший ранг получил мотив самореализации, что свидетельствует о высокой значимости для сотрудников возможности раскрытия собственного потенциала, проявления инициативы и участия в принятии решений.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Второе место занял мотив, связанный с интересом к выполняемой деятельности, что подтверждает </w:t>
      </w:r>
      <w:r>
        <w:rPr>
          <w:rFonts w:cs="Times New Roman" w:ascii="Times New Roman" w:hAnsi="Times New Roman"/>
          <w:b/>
          <w:bCs/>
          <w:sz w:val="28"/>
          <w:szCs w:val="28"/>
        </w:rPr>
        <w:t>необходимость формирования содержательных, разнообразных и творчески насыщенных трудовых задач</w:t>
      </w:r>
      <w:r>
        <w:rPr>
          <w:rFonts w:cs="Times New Roman" w:ascii="Times New Roman" w:hAnsi="Times New Roman"/>
          <w:sz w:val="28"/>
          <w:szCs w:val="28"/>
        </w:rPr>
        <w:t>. Существенную роль также играет уровень материального вознаграждения, однако он уступает факторам внутренней мотивации, занимая лишь третью позицию в итоговом ранжировании. Это позволяет сделать вывод о том, что денежное стимулирование, являясь важным элементом системы мотивации, не может рассматриваться в качестве единственного или доминирующего инструмента повышения эффективности труда.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Мотивы, связанные с возможностью реализации собственных идей и карьерного роста, занимают средние позиции, что указывает на </w:t>
      </w:r>
      <w:r>
        <w:rPr>
          <w:rFonts w:cs="Times New Roman" w:ascii="Times New Roman" w:hAnsi="Times New Roman"/>
          <w:b/>
          <w:bCs/>
          <w:sz w:val="28"/>
          <w:szCs w:val="28"/>
        </w:rPr>
        <w:t>необходимость создания условий для профессионального развития работников, внедрения механизмов поддержки инициатив и обеспечения прозрачности карьерных перспектив</w:t>
      </w:r>
      <w:r>
        <w:rPr>
          <w:rFonts w:cs="Times New Roman" w:ascii="Times New Roman" w:hAnsi="Times New Roman"/>
          <w:sz w:val="28"/>
          <w:szCs w:val="28"/>
        </w:rPr>
        <w:t>. Социально-психологические факторы, такие как благоприятный рабочий климат и сплочённость коллектива, также оказывают влияние на мотивацию, однако их значимость ниже по сравнению с содержательными характеристиками труда.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Наименее значимыми оказались мотивы, связанные с престижем, а также с обеспечением спокойных и регламентированных условий труда. Это свидетельствует о том, что ориентация исключительно на стабильность и внешние атрибуты статуса не способствует формированию высокой трудовой мотивации.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Таким образом</w:t>
      </w:r>
      <w:r>
        <w:rPr>
          <w:rFonts w:cs="Times New Roman" w:ascii="Times New Roman" w:hAnsi="Times New Roman"/>
          <w:sz w:val="28"/>
          <w:szCs w:val="28"/>
        </w:rPr>
        <w:t>, эффективная система мотивации персонала должна быть ориентирована прежде всего на развитие внутренней заинтересованности работников в результатах своей деятельности, создание условий для самореализации, обеспечение содержательности труда и возможностей профессионального роста при одновременном поддержании конкурентоспособного уровня оплаты труда.</w:t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393aad"/>
    <w:rPr/>
  </w:style>
  <w:style w:type="character" w:styleId="Style15" w:customStyle="1">
    <w:name w:val="Нижний колонтитул Знак"/>
    <w:basedOn w:val="DefaultParagraphFont"/>
    <w:uiPriority w:val="99"/>
    <w:qFormat/>
    <w:rsid w:val="00393aad"/>
    <w:rPr/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393aa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393aa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201e32"/>
    <w:pPr>
      <w:spacing w:before="0" w:after="160"/>
      <w:ind w:left="720"/>
      <w:contextualSpacing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Таблица"/>
    <w:basedOn w:val="Caption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328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Application>LibreOffice/24.2.7.2$Linux_X86_64 LibreOffice_project/420$Build-2</Application>
  <AppVersion>15.0000</AppVersion>
  <Pages>10</Pages>
  <Words>1585</Words>
  <Characters>7429</Characters>
  <CharactersWithSpaces>8177</CharactersWithSpaces>
  <Paragraphs>897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2025-12-01T13:09:00Z</dcterms:created>
  <dc:creator>Пользователь Windows</dc:creator>
  <dc:description/>
  <dc:language>ru-RU</dc:language>
  <cp:lastModifiedBy/>
  <cp:lastPrinted>2026-03-31T13:32:49Z</cp:lastPrinted>
  <dcterms:modified xsi:type="dcterms:W3CDTF">2026-03-31T13:46:36Z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