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910" w:rsidRDefault="00543910" w:rsidP="00543910">
      <w:pPr>
        <w:jc w:val="right"/>
        <w:rPr>
          <w:b/>
        </w:rPr>
      </w:pPr>
      <w:r>
        <w:rPr>
          <w:b/>
        </w:rPr>
        <w:t>Ethan Crawford</w:t>
      </w:r>
      <w:r>
        <w:rPr>
          <w:b/>
        </w:rPr>
        <w:br/>
        <w:t>BIS 339</w:t>
      </w:r>
      <w:r>
        <w:rPr>
          <w:b/>
        </w:rPr>
        <w:br/>
        <w:t>July 16, 2007</w:t>
      </w:r>
      <w:r>
        <w:rPr>
          <w:b/>
        </w:rPr>
        <w:br/>
        <w:t>Take-home exam 1</w:t>
      </w:r>
    </w:p>
    <w:p w:rsidR="00FC2139" w:rsidRDefault="00FC2139" w:rsidP="00FC2139">
      <w:r w:rsidRPr="00FC2139">
        <w:rPr>
          <w:i/>
        </w:rPr>
        <w:t>“People are trapped in history, and history is trapped in them.”</w:t>
      </w:r>
      <w:r>
        <w:t xml:space="preserve">  James A. Baldwin</w:t>
      </w:r>
    </w:p>
    <w:p w:rsidR="00543910" w:rsidRDefault="00FC2139" w:rsidP="00FC2139">
      <w:r>
        <w:tab/>
      </w:r>
      <w:r w:rsidR="00543910">
        <w:t xml:space="preserve">The </w:t>
      </w:r>
      <w:r w:rsidR="002A3423">
        <w:t xml:space="preserve">historians </w:t>
      </w:r>
      <w:r w:rsidR="00543910">
        <w:t>read in this class represent a range of historical perspectives</w:t>
      </w:r>
      <w:r>
        <w:t>. S</w:t>
      </w:r>
      <w:r w:rsidR="00543910">
        <w:t xml:space="preserve">ome of </w:t>
      </w:r>
      <w:r w:rsidR="00120986">
        <w:t xml:space="preserve">them </w:t>
      </w:r>
      <w:r>
        <w:t xml:space="preserve"> </w:t>
      </w:r>
      <w:r w:rsidR="0082119E">
        <w:t>eschew</w:t>
      </w:r>
      <w:r w:rsidR="00543910">
        <w:t xml:space="preserve"> </w:t>
      </w:r>
      <w:r>
        <w:t xml:space="preserve">an adequate treatment of </w:t>
      </w:r>
      <w:r w:rsidR="00543910">
        <w:t xml:space="preserve">the human costs </w:t>
      </w:r>
      <w:r>
        <w:t xml:space="preserve">of </w:t>
      </w:r>
      <w:r w:rsidR="00FF169A">
        <w:t>regional development</w:t>
      </w:r>
      <w:r>
        <w:t xml:space="preserve"> on Seattle’s minority, immigrant, and working-class populations</w:t>
      </w:r>
      <w:r w:rsidR="00543910">
        <w:t>, while others ma</w:t>
      </w:r>
      <w:r w:rsidR="003E77C5">
        <w:t xml:space="preserve">ke more explicit those costs. </w:t>
      </w:r>
      <w:r w:rsidR="00543910">
        <w:t>In this paper, I</w:t>
      </w:r>
      <w:r w:rsidR="005E3098">
        <w:t xml:space="preserve"> will use Thrush’s challenge</w:t>
      </w:r>
      <w:r w:rsidR="00543910">
        <w:t xml:space="preserve"> </w:t>
      </w:r>
      <w:r w:rsidR="005E3098" w:rsidRPr="005E3098">
        <w:t>“to confront directly the human costs of both ma</w:t>
      </w:r>
      <w:r w:rsidR="00957E5E">
        <w:t>terial and discursive practices</w:t>
      </w:r>
      <w:r w:rsidR="005E3098" w:rsidRPr="005E3098">
        <w:t>” (117)</w:t>
      </w:r>
      <w:r w:rsidR="005E3098">
        <w:t xml:space="preserve"> </w:t>
      </w:r>
      <w:r w:rsidR="007A4F3A">
        <w:t xml:space="preserve">as a basis to evaluate </w:t>
      </w:r>
      <w:r w:rsidR="00543910">
        <w:t xml:space="preserve">the inadequacies in the accounts by </w:t>
      </w:r>
      <w:r w:rsidR="003E77C5">
        <w:t xml:space="preserve">Morse, </w:t>
      </w:r>
      <w:proofErr w:type="spellStart"/>
      <w:r w:rsidR="005B327C">
        <w:t>Berton</w:t>
      </w:r>
      <w:proofErr w:type="spellEnd"/>
      <w:r w:rsidR="003E77C5">
        <w:t>, and Laurie, and the more equitable discursive practices contained in the historical analyses of Friday</w:t>
      </w:r>
      <w:r w:rsidR="005E3098">
        <w:t xml:space="preserve"> </w:t>
      </w:r>
      <w:r w:rsidR="003E77C5">
        <w:t xml:space="preserve">and Blackford. </w:t>
      </w:r>
      <w:r w:rsidR="0071350B">
        <w:t xml:space="preserve">In addition, </w:t>
      </w:r>
      <w:r w:rsidR="00543910">
        <w:t xml:space="preserve">I will offer a critique of some of </w:t>
      </w:r>
      <w:r w:rsidR="003E77C5">
        <w:t xml:space="preserve">the </w:t>
      </w:r>
      <w:r w:rsidR="00543910">
        <w:t xml:space="preserve">latter set, arguing that a greater degree of explicitness is </w:t>
      </w:r>
      <w:r w:rsidR="003E77C5">
        <w:t xml:space="preserve">valuable </w:t>
      </w:r>
      <w:r w:rsidR="00543910">
        <w:t>in discussions of historical suffering</w:t>
      </w:r>
      <w:r w:rsidR="00F5017E">
        <w:t xml:space="preserve">. </w:t>
      </w:r>
      <w:r w:rsidR="000E1946">
        <w:t xml:space="preserve">Finally, </w:t>
      </w:r>
      <w:r w:rsidR="00F5017E">
        <w:t>I will argue that example</w:t>
      </w:r>
      <w:r w:rsidR="00384655">
        <w:t>s</w:t>
      </w:r>
      <w:r w:rsidR="00F5017E">
        <w:t xml:space="preserve"> of this optimal treatment </w:t>
      </w:r>
      <w:r w:rsidR="00384655">
        <w:t xml:space="preserve">are </w:t>
      </w:r>
      <w:r w:rsidR="00543910">
        <w:t xml:space="preserve">exhibited </w:t>
      </w:r>
      <w:r w:rsidR="00384655">
        <w:t xml:space="preserve">by both </w:t>
      </w:r>
      <w:proofErr w:type="spellStart"/>
      <w:r w:rsidR="00384655">
        <w:t>Rydell</w:t>
      </w:r>
      <w:proofErr w:type="spellEnd"/>
      <w:r w:rsidR="00384655">
        <w:t xml:space="preserve"> and </w:t>
      </w:r>
      <w:r w:rsidR="00D92120">
        <w:t>Frank</w:t>
      </w:r>
      <w:r w:rsidR="00384655">
        <w:t>.</w:t>
      </w:r>
    </w:p>
    <w:p w:rsidR="006B3D8C" w:rsidRDefault="006B3D8C" w:rsidP="00FC2139">
      <w:r>
        <w:tab/>
      </w:r>
      <w:proofErr w:type="spellStart"/>
      <w:r w:rsidR="005B327C">
        <w:t>Berton</w:t>
      </w:r>
      <w:proofErr w:type="spellEnd"/>
      <w:r w:rsidR="0074057E">
        <w:t xml:space="preserve">, Morse, and Laurie </w:t>
      </w:r>
      <w:r w:rsidR="00482E37">
        <w:t xml:space="preserve">each approach their subject matter from a “traditional” historical perspective. Key events and elements required to familiarize a reader with the material are outlined and </w:t>
      </w:r>
      <w:r w:rsidR="00482F98">
        <w:t>described</w:t>
      </w:r>
      <w:r w:rsidR="00482E37">
        <w:t xml:space="preserve">, with little emphasis placed on the human dimension of the narrative. </w:t>
      </w:r>
      <w:proofErr w:type="spellStart"/>
      <w:r w:rsidR="00667191">
        <w:t>Berton</w:t>
      </w:r>
      <w:proofErr w:type="spellEnd"/>
      <w:r w:rsidR="00667191">
        <w:t xml:space="preserve"> writes about Klondike Fever, the rush of people from the Eastern United States to make their fortune in the Alaskan gold rush, focusing on the wide range of approaches</w:t>
      </w:r>
      <w:r w:rsidR="007F40F7">
        <w:t xml:space="preserve"> and </w:t>
      </w:r>
      <w:r w:rsidR="00667191">
        <w:t>techniques</w:t>
      </w:r>
      <w:r w:rsidR="007F40F7">
        <w:t xml:space="preserve"> of </w:t>
      </w:r>
      <w:r w:rsidR="00667191">
        <w:t>the prospective prospectors, and the competition between West coast cities to meet the demand for supplies</w:t>
      </w:r>
      <w:r w:rsidR="007144DA">
        <w:t xml:space="preserve"> (185). </w:t>
      </w:r>
      <w:proofErr w:type="spellStart"/>
      <w:r w:rsidR="00F5484B">
        <w:t>Berton</w:t>
      </w:r>
      <w:proofErr w:type="spellEnd"/>
      <w:r w:rsidR="00F5484B">
        <w:t xml:space="preserve">  evokes the grand scale of human events, capturing the color and excitement</w:t>
      </w:r>
      <w:r w:rsidR="00620ADD">
        <w:t xml:space="preserve"> of the “parade”</w:t>
      </w:r>
      <w:r w:rsidR="00F5484B">
        <w:t xml:space="preserve">. </w:t>
      </w:r>
      <w:r w:rsidR="00BB48EA">
        <w:t xml:space="preserve">Conspicuously missing from this story is the toll exacted on the indigenous people of the Northwest Territories, or the effect of the outfitting operations on the working-class elements of the population charged with procuring supplies or stocking </w:t>
      </w:r>
      <w:r w:rsidR="008A77C1">
        <w:t>shops.</w:t>
      </w:r>
    </w:p>
    <w:p w:rsidR="008A77C1" w:rsidRDefault="008A77C1" w:rsidP="00FC2139">
      <w:r>
        <w:tab/>
        <w:t>Morse takes an even higher-level view of historical events. Her curriculum materials consist of a brief overview of the Klondike gold rush and its consequences for the economy of the city of Seattle, largely due to the marketing expertise of Erastus Brainerd. While the introduction briefly discusses the hardships endured by miners on the trail to the Yukon, it does not otherwise address the human costs in any dimension</w:t>
      </w:r>
      <w:r w:rsidR="00D56A4D">
        <w:t xml:space="preserve">. The </w:t>
      </w:r>
      <w:r w:rsidR="000B041A">
        <w:t xml:space="preserve">list of </w:t>
      </w:r>
      <w:r w:rsidR="00D56A4D">
        <w:t xml:space="preserve">primary sources </w:t>
      </w:r>
      <w:r w:rsidR="000B041A">
        <w:t xml:space="preserve">within the curriculum has the potential to </w:t>
      </w:r>
      <w:r w:rsidR="00D56A4D">
        <w:t xml:space="preserve">provide some amount of human narrative, but </w:t>
      </w:r>
      <w:r w:rsidR="000B041A">
        <w:t xml:space="preserve">Morse does not include </w:t>
      </w:r>
      <w:r w:rsidR="00D56A4D">
        <w:t>analysis required to make connections between individuals and the larger discursive context</w:t>
      </w:r>
      <w:r w:rsidR="003E1FCC">
        <w:t>.</w:t>
      </w:r>
    </w:p>
    <w:p w:rsidR="003E1FCC" w:rsidRDefault="003E1FCC" w:rsidP="00FC2139">
      <w:r>
        <w:tab/>
      </w:r>
      <w:r w:rsidR="00924E79">
        <w:t xml:space="preserve">Similar to </w:t>
      </w:r>
      <w:proofErr w:type="spellStart"/>
      <w:r w:rsidR="00924E79">
        <w:t>Berton</w:t>
      </w:r>
      <w:proofErr w:type="spellEnd"/>
      <w:r w:rsidR="00924E79">
        <w:t xml:space="preserve"> and Morse, </w:t>
      </w:r>
      <w:r>
        <w:t xml:space="preserve">Laurie does not appear to demonstrate an interest in the human cost of large-scale region building. </w:t>
      </w:r>
      <w:r w:rsidR="0090539E">
        <w:t>He writes about US Army intervention in anti-Chinese violence in 1885, a subject that seems like it would be a natural fit for “directly [confronting] the human costs” (Thrush, 117). In his introduction, Laurie details tensions caused by job competition between unionized white labor and inexpensive imported Chinese workers. However, his descriptions of events, which draw heavily from US military records, deal almost exclusively with tactics</w:t>
      </w:r>
      <w:r w:rsidR="00FA4E04">
        <w:t xml:space="preserve"> </w:t>
      </w:r>
      <w:r w:rsidR="0090539E">
        <w:t xml:space="preserve">and other independently-verifiable facts. </w:t>
      </w:r>
      <w:r w:rsidR="004C7B22">
        <w:t xml:space="preserve">Wounded and injured appear as military statistics, and no attempt is made to investigate the </w:t>
      </w:r>
      <w:r w:rsidR="004C7B22">
        <w:lastRenderedPageBreak/>
        <w:t xml:space="preserve">effect of the conflict or the casualties on the Chinese population or on those who </w:t>
      </w:r>
      <w:r w:rsidR="00BD27AA">
        <w:t xml:space="preserve">perpetrated the violence. Although an engaged reader can form an accurate picture of the facts on the ground, Laurie has invested no time in </w:t>
      </w:r>
      <w:r w:rsidR="00645CA7">
        <w:t xml:space="preserve">exploring </w:t>
      </w:r>
      <w:r w:rsidR="00BD27AA">
        <w:t xml:space="preserve">the interpersonal dynamics and, more importantly, the lasting impact of race-related violence on and </w:t>
      </w:r>
      <w:r w:rsidR="00103AD7">
        <w:t xml:space="preserve">the minority and working-class </w:t>
      </w:r>
      <w:r w:rsidR="00BD27AA">
        <w:t>population</w:t>
      </w:r>
      <w:r w:rsidR="00103AD7">
        <w:t>s</w:t>
      </w:r>
      <w:r w:rsidR="00BD27AA">
        <w:t xml:space="preserve"> </w:t>
      </w:r>
      <w:r w:rsidR="003432E9">
        <w:t xml:space="preserve">in the </w:t>
      </w:r>
      <w:r w:rsidR="00D40234">
        <w:t xml:space="preserve">Pacific </w:t>
      </w:r>
      <w:r w:rsidR="00BD27AA">
        <w:t>Northwest region.</w:t>
      </w:r>
    </w:p>
    <w:p w:rsidR="00C216AF" w:rsidRDefault="00C216AF" w:rsidP="00FC2139">
      <w:r>
        <w:tab/>
        <w:t>Blac</w:t>
      </w:r>
      <w:r w:rsidR="008547C6">
        <w:t>kford</w:t>
      </w:r>
      <w:r w:rsidR="004757C3">
        <w:t xml:space="preserve"> and Friday </w:t>
      </w:r>
      <w:r w:rsidR="00401CA4">
        <w:t xml:space="preserve">bring more class and race consciousness to their historical analyses. </w:t>
      </w:r>
      <w:r w:rsidR="00D05E9D">
        <w:t xml:space="preserve">Blackford, writing on the subject of city planning, mentions the </w:t>
      </w:r>
      <w:r w:rsidR="009D4B3B">
        <w:t xml:space="preserve">city’s varied ethnicities and economic classes. He </w:t>
      </w:r>
      <w:r w:rsidR="00010DD8">
        <w:t xml:space="preserve">then </w:t>
      </w:r>
      <w:r w:rsidR="009D4B3B">
        <w:t xml:space="preserve">identifies </w:t>
      </w:r>
      <w:r w:rsidR="00D05E9D">
        <w:t>key stakeholders (upper</w:t>
      </w:r>
      <w:r w:rsidR="00457365">
        <w:t xml:space="preserve"> and middle</w:t>
      </w:r>
      <w:r w:rsidR="00D05E9D">
        <w:t xml:space="preserve">-class </w:t>
      </w:r>
      <w:r w:rsidR="00457365">
        <w:t>professionals)</w:t>
      </w:r>
      <w:r w:rsidR="00D05E9D">
        <w:t xml:space="preserve"> in </w:t>
      </w:r>
      <w:r w:rsidR="00457365">
        <w:t xml:space="preserve">the </w:t>
      </w:r>
      <w:r w:rsidR="00D05E9D">
        <w:t xml:space="preserve">city planning effort, and </w:t>
      </w:r>
      <w:r w:rsidR="00B27E00">
        <w:t xml:space="preserve">explores </w:t>
      </w:r>
      <w:r w:rsidR="00D05E9D">
        <w:t xml:space="preserve">how their contributions to an unsuccessful early city planning effort paved the way for </w:t>
      </w:r>
      <w:r w:rsidR="00457365">
        <w:t xml:space="preserve">the success of </w:t>
      </w:r>
      <w:r w:rsidR="00D05E9D">
        <w:t>less ambitious future efforts (Blackford, 5</w:t>
      </w:r>
      <w:r w:rsidR="00350109">
        <w:t>59</w:t>
      </w:r>
      <w:r w:rsidR="00D05E9D">
        <w:t>).</w:t>
      </w:r>
      <w:r w:rsidR="00350109">
        <w:t xml:space="preserve"> However, this discussion does not detail the cost of city planning on minority</w:t>
      </w:r>
      <w:r w:rsidR="003A6463">
        <w:t xml:space="preserve"> </w:t>
      </w:r>
      <w:r w:rsidR="00350109">
        <w:t xml:space="preserve">and lower-class populations. </w:t>
      </w:r>
      <w:r w:rsidR="007C0FF0">
        <w:t xml:space="preserve">Restructuring Seattle’s development plan </w:t>
      </w:r>
      <w:r w:rsidR="009E7FF0">
        <w:t xml:space="preserve">probably </w:t>
      </w:r>
      <w:r w:rsidR="00945C2C">
        <w:t>exact</w:t>
      </w:r>
      <w:r w:rsidR="009E7FF0">
        <w:t>ed</w:t>
      </w:r>
      <w:r w:rsidR="00945C2C">
        <w:t xml:space="preserve"> a toll on </w:t>
      </w:r>
      <w:r w:rsidR="00D75CCD">
        <w:t>the workers performing the jobs</w:t>
      </w:r>
      <w:r w:rsidR="00945C2C">
        <w:t xml:space="preserve"> and the populations living near the sites. </w:t>
      </w:r>
      <w:r w:rsidR="00E118E3">
        <w:t xml:space="preserve">These hardships </w:t>
      </w:r>
      <w:r w:rsidR="00945C2C">
        <w:t xml:space="preserve">are not </w:t>
      </w:r>
      <w:r w:rsidR="00E118E3">
        <w:t>discussed</w:t>
      </w:r>
      <w:r w:rsidR="002F540D">
        <w:t>; the focus seems to be on the various plans of Important People</w:t>
      </w:r>
      <w:r w:rsidR="00675B3B">
        <w:t>.</w:t>
      </w:r>
    </w:p>
    <w:p w:rsidR="00C55BA5" w:rsidRDefault="00EA0277" w:rsidP="00FC2139">
      <w:r>
        <w:tab/>
        <w:t>Friday, writing on the portrayal of Chinese communities in the Pacific Northwest by various periodicals, seems ideally positioned to take a position on the human toll of</w:t>
      </w:r>
      <w:r w:rsidR="00DC710D">
        <w:t xml:space="preserve"> this type of inevitably limiting</w:t>
      </w:r>
      <w:r>
        <w:t xml:space="preserve"> framing. </w:t>
      </w:r>
      <w:r w:rsidR="00780B43">
        <w:t>H</w:t>
      </w:r>
      <w:r w:rsidR="005403AD">
        <w:t xml:space="preserve">e appears to be aware that members of Chinese communities, </w:t>
      </w:r>
      <w:r w:rsidR="00780B43">
        <w:t>working in labor-intensive jobs for low wages,</w:t>
      </w:r>
      <w:r w:rsidR="005403AD">
        <w:t xml:space="preserve"> experience suffering</w:t>
      </w:r>
      <w:r w:rsidR="00005AE2">
        <w:t xml:space="preserve"> (101)</w:t>
      </w:r>
      <w:r w:rsidR="005403AD">
        <w:t xml:space="preserve">. </w:t>
      </w:r>
      <w:r w:rsidR="00DC710D">
        <w:t xml:space="preserve">However, he appears </w:t>
      </w:r>
      <w:r w:rsidR="00D7434E">
        <w:t>to see his role partially as an antidote to “New Social History” (103),</w:t>
      </w:r>
      <w:r w:rsidR="00E25F29">
        <w:t xml:space="preserve"> augmenting simplistic knowledge of anti-Chinese policy with descriptions of </w:t>
      </w:r>
      <w:r w:rsidR="00DC710D">
        <w:t xml:space="preserve">the </w:t>
      </w:r>
      <w:r w:rsidR="00D7434E">
        <w:t xml:space="preserve">shifting </w:t>
      </w:r>
      <w:r w:rsidR="00DC710D">
        <w:t>positions taken by publica</w:t>
      </w:r>
      <w:r w:rsidR="00E25F29">
        <w:t xml:space="preserve">tions </w:t>
      </w:r>
      <w:r w:rsidR="00E34E35">
        <w:t>over the years</w:t>
      </w:r>
      <w:r w:rsidR="00E25F29">
        <w:t xml:space="preserve">, </w:t>
      </w:r>
      <w:r w:rsidR="00494EA9">
        <w:t xml:space="preserve">rather than </w:t>
      </w:r>
      <w:r w:rsidR="00D409CE">
        <w:t xml:space="preserve">stepping within the </w:t>
      </w:r>
      <w:r w:rsidR="00ED565D">
        <w:t xml:space="preserve">Chinese </w:t>
      </w:r>
      <w:r w:rsidR="00494EA9">
        <w:t>communities</w:t>
      </w:r>
      <w:r w:rsidR="00D409CE">
        <w:t xml:space="preserve"> to assess </w:t>
      </w:r>
      <w:r w:rsidR="00563D59">
        <w:t xml:space="preserve">the </w:t>
      </w:r>
      <w:r w:rsidR="00D409CE">
        <w:t>impact</w:t>
      </w:r>
      <w:r w:rsidR="00ED565D">
        <w:t xml:space="preserve">. </w:t>
      </w:r>
      <w:r w:rsidR="00DE310F">
        <w:t xml:space="preserve">This may also imply </w:t>
      </w:r>
      <w:r w:rsidR="00973280">
        <w:t xml:space="preserve">a belief by </w:t>
      </w:r>
      <w:r w:rsidR="00DE310F">
        <w:t xml:space="preserve">Friday </w:t>
      </w:r>
      <w:r w:rsidR="00AD0169">
        <w:t xml:space="preserve">that </w:t>
      </w:r>
      <w:r w:rsidR="0085203F">
        <w:t xml:space="preserve">the </w:t>
      </w:r>
      <w:r w:rsidR="00544116">
        <w:t xml:space="preserve">presence </w:t>
      </w:r>
      <w:r w:rsidR="0085203F">
        <w:t xml:space="preserve">of </w:t>
      </w:r>
      <w:r w:rsidR="00DE310F">
        <w:t xml:space="preserve">Chinese </w:t>
      </w:r>
      <w:r w:rsidR="00B31DE7">
        <w:t xml:space="preserve">stereotypes </w:t>
      </w:r>
      <w:r w:rsidR="00DE310F">
        <w:t xml:space="preserve">in regional publications </w:t>
      </w:r>
      <w:r w:rsidR="00A34C92">
        <w:t xml:space="preserve">is </w:t>
      </w:r>
      <w:r w:rsidR="000933B5">
        <w:t xml:space="preserve">merely </w:t>
      </w:r>
      <w:r w:rsidR="0085203F">
        <w:t xml:space="preserve">evidence of </w:t>
      </w:r>
      <w:r w:rsidR="009F0D81">
        <w:t xml:space="preserve">community-based </w:t>
      </w:r>
      <w:r w:rsidR="0085203F">
        <w:t xml:space="preserve">anti-Chinese sentiment, rather than </w:t>
      </w:r>
      <w:r w:rsidR="00A7306C">
        <w:t xml:space="preserve">a </w:t>
      </w:r>
      <w:r w:rsidR="009F0D81">
        <w:t xml:space="preserve">source </w:t>
      </w:r>
      <w:r w:rsidR="00DE310F">
        <w:t xml:space="preserve">of </w:t>
      </w:r>
      <w:r w:rsidR="0080023C">
        <w:t>it</w:t>
      </w:r>
      <w:r w:rsidR="0085203F">
        <w:t>.</w:t>
      </w:r>
    </w:p>
    <w:p w:rsidR="00D72373" w:rsidRDefault="00AF3F1E" w:rsidP="00FC2139">
      <w:r>
        <w:tab/>
      </w:r>
      <w:r w:rsidR="00C216AF">
        <w:t xml:space="preserve">Frank and </w:t>
      </w:r>
      <w:proofErr w:type="spellStart"/>
      <w:r w:rsidR="00C216AF">
        <w:t>Rydell</w:t>
      </w:r>
      <w:proofErr w:type="spellEnd"/>
      <w:r w:rsidR="00C216AF">
        <w:t xml:space="preserve"> take the </w:t>
      </w:r>
      <w:r w:rsidR="003A3423">
        <w:t xml:space="preserve">surface-level </w:t>
      </w:r>
      <w:r w:rsidR="008547C6">
        <w:t>analysis of Friday and Blackford</w:t>
      </w:r>
      <w:r w:rsidR="00C216AF">
        <w:t xml:space="preserve"> a step further, distill</w:t>
      </w:r>
      <w:r w:rsidR="00DF20F8">
        <w:t>ing</w:t>
      </w:r>
      <w:r w:rsidR="00C216AF">
        <w:t xml:space="preserve">, </w:t>
      </w:r>
      <w:r w:rsidR="00DF20F8">
        <w:t xml:space="preserve">from </w:t>
      </w:r>
      <w:r w:rsidR="00C216AF">
        <w:t xml:space="preserve">the historical record, the effects of </w:t>
      </w:r>
      <w:r w:rsidR="002977DE">
        <w:t>major</w:t>
      </w:r>
      <w:r w:rsidR="00C216AF">
        <w:t xml:space="preserve"> decisions on minority populations. </w:t>
      </w:r>
      <w:r w:rsidR="00D72373">
        <w:t xml:space="preserve">This approach provides three valuable services to the average reader of history not available in the writings of any of the previously discussed </w:t>
      </w:r>
      <w:r w:rsidR="002D14DD">
        <w:t>authors</w:t>
      </w:r>
      <w:r w:rsidR="00D72373">
        <w:t xml:space="preserve">. First, it </w:t>
      </w:r>
      <w:r w:rsidR="00A367E1">
        <w:t xml:space="preserve">adds a human element, making large-scale </w:t>
      </w:r>
      <w:r w:rsidR="00AA0BF8">
        <w:t xml:space="preserve">historical events </w:t>
      </w:r>
      <w:r w:rsidR="00A367E1">
        <w:t xml:space="preserve">come alive. Second, it recapitulates the point that universal social issues such as racism and classism have always </w:t>
      </w:r>
      <w:r w:rsidR="00F83FC8">
        <w:t xml:space="preserve">existed in </w:t>
      </w:r>
      <w:r w:rsidR="00A367E1">
        <w:t xml:space="preserve">human society. Third, it liberates under-represented minority groups from their role as passive pawns in </w:t>
      </w:r>
      <w:r w:rsidR="008002BF">
        <w:t xml:space="preserve">a </w:t>
      </w:r>
      <w:r w:rsidR="00A367E1">
        <w:t>great historical game,  highlighting their survival strategies in the face of oppression.</w:t>
      </w:r>
    </w:p>
    <w:p w:rsidR="00843E05" w:rsidRDefault="00A367E1" w:rsidP="00FC2139">
      <w:r>
        <w:tab/>
      </w:r>
      <w:r w:rsidR="008D50DD">
        <w:t xml:space="preserve">Frank </w:t>
      </w:r>
      <w:r w:rsidR="0073240C">
        <w:t>writes</w:t>
      </w:r>
      <w:r w:rsidR="008D50DD">
        <w:t xml:space="preserve"> about the formation on the Seattle solidarity movement in the early 20</w:t>
      </w:r>
      <w:r w:rsidR="008D50DD" w:rsidRPr="008D50DD">
        <w:rPr>
          <w:vertAlign w:val="superscript"/>
        </w:rPr>
        <w:t>th</w:t>
      </w:r>
      <w:r w:rsidR="008D50DD">
        <w:t xml:space="preserve"> century. She </w:t>
      </w:r>
      <w:r w:rsidR="00AF3F1E">
        <w:t xml:space="preserve">squarely addresses one of the myths of the labor movement, namely that it developed without racial barriers or class consciousness. In reality, she points out, race-based union exclusion was practiced in 91% of all unions, and that the exclusion played a pivotal role in shaping the destinies of both the white working class and the immigrant and minority workers who were denied entry. She emphasizes the role of racism and exclusionary tactics </w:t>
      </w:r>
      <w:r w:rsidR="00D700EA">
        <w:t xml:space="preserve">as being central to </w:t>
      </w:r>
      <w:r w:rsidR="00AF3F1E">
        <w:t xml:space="preserve">telling the </w:t>
      </w:r>
      <w:r w:rsidR="006523AE">
        <w:t>“real”</w:t>
      </w:r>
      <w:r w:rsidR="00AF3F1E">
        <w:t xml:space="preserve"> story of the labor movement.</w:t>
      </w:r>
      <w:r w:rsidR="007465AE">
        <w:t xml:space="preserve"> Frank touches on three main groups</w:t>
      </w:r>
      <w:r w:rsidR="003211F0">
        <w:t xml:space="preserve"> - </w:t>
      </w:r>
      <w:r w:rsidR="007465AE">
        <w:t xml:space="preserve">white, skilled-craft unions, poorer, less skilled </w:t>
      </w:r>
      <w:r w:rsidR="007465AE">
        <w:lastRenderedPageBreak/>
        <w:t xml:space="preserve">International Workers of the World, and parallel Japanese </w:t>
      </w:r>
      <w:r w:rsidR="00A53983">
        <w:t>labor organizations</w:t>
      </w:r>
      <w:r w:rsidR="003211F0">
        <w:t xml:space="preserve"> -</w:t>
      </w:r>
      <w:r w:rsidR="00A53983">
        <w:t xml:space="preserve"> discussing the conflicts between them, and the widely varying approaches used to resolve </w:t>
      </w:r>
      <w:r w:rsidR="00CB518C">
        <w:t>the conflicts</w:t>
      </w:r>
      <w:r w:rsidR="00A53983">
        <w:t xml:space="preserve">. </w:t>
      </w:r>
    </w:p>
    <w:p w:rsidR="00A80B8C" w:rsidRDefault="00843E05" w:rsidP="00FC2139">
      <w:r>
        <w:tab/>
        <w:t xml:space="preserve">In his piece on the international expositions in Portland and Seattle, </w:t>
      </w:r>
      <w:proofErr w:type="spellStart"/>
      <w:r>
        <w:t>Rydell</w:t>
      </w:r>
      <w:proofErr w:type="spellEnd"/>
      <w:r>
        <w:t xml:space="preserve"> demonstrates a thorough treatment of the human costs of </w:t>
      </w:r>
      <w:r w:rsidR="001448E6">
        <w:t xml:space="preserve">surrounding </w:t>
      </w:r>
      <w:r>
        <w:t xml:space="preserve">the </w:t>
      </w:r>
      <w:r w:rsidR="00BB76C1">
        <w:t xml:space="preserve">overarching </w:t>
      </w:r>
      <w:r>
        <w:t xml:space="preserve">events. His principal areas of focus are the </w:t>
      </w:r>
      <w:r w:rsidR="001448E6">
        <w:t xml:space="preserve">conflicts </w:t>
      </w:r>
      <w:r>
        <w:t xml:space="preserve">between labor </w:t>
      </w:r>
      <w:r w:rsidR="001448E6">
        <w:t xml:space="preserve">organizations </w:t>
      </w:r>
      <w:r>
        <w:t xml:space="preserve">and </w:t>
      </w:r>
      <w:r w:rsidR="001448E6">
        <w:t>business interests</w:t>
      </w:r>
      <w:r w:rsidR="00BE283A">
        <w:t xml:space="preserve"> before and during the exposition</w:t>
      </w:r>
      <w:r w:rsidR="001448E6">
        <w:t xml:space="preserve">, and a discussion of the discursive frame surrounding the exhibition of </w:t>
      </w:r>
      <w:r w:rsidR="00537CD3">
        <w:t xml:space="preserve">a </w:t>
      </w:r>
      <w:r w:rsidR="001448E6">
        <w:t xml:space="preserve">Filipino </w:t>
      </w:r>
      <w:r w:rsidR="00537CD3">
        <w:t>minority community</w:t>
      </w:r>
      <w:r w:rsidR="00EA27CC">
        <w:t xml:space="preserve"> </w:t>
      </w:r>
      <w:r w:rsidR="00537CD3">
        <w:t xml:space="preserve">and the representation of other non-European people groups. </w:t>
      </w:r>
      <w:r w:rsidR="009D3804">
        <w:t xml:space="preserve"> </w:t>
      </w:r>
      <w:proofErr w:type="spellStart"/>
      <w:r w:rsidR="004F208A">
        <w:t>Rydell</w:t>
      </w:r>
      <w:proofErr w:type="spellEnd"/>
      <w:r w:rsidR="004F208A">
        <w:t xml:space="preserve"> </w:t>
      </w:r>
      <w:r w:rsidR="00C5601E">
        <w:t xml:space="preserve">writes </w:t>
      </w:r>
      <w:r w:rsidR="004F208A">
        <w:t>of working-class laborers suffering from insufficient wages due to the lack of a union contract (46), and the corresponding opposition to the exposition within the union community created by this action (48).</w:t>
      </w:r>
      <w:r w:rsidR="00A80B8C">
        <w:t xml:space="preserve"> </w:t>
      </w:r>
    </w:p>
    <w:p w:rsidR="00843E05" w:rsidRDefault="00A80B8C" w:rsidP="00FC2139">
      <w:r>
        <w:tab/>
        <w:t xml:space="preserve">After the completion of the </w:t>
      </w:r>
      <w:r w:rsidR="00C223C6">
        <w:t xml:space="preserve">exhibition </w:t>
      </w:r>
      <w:r w:rsidR="007D52DD">
        <w:t>structures</w:t>
      </w:r>
      <w:r>
        <w:t xml:space="preserve">, </w:t>
      </w:r>
      <w:proofErr w:type="spellStart"/>
      <w:r>
        <w:t>Rydell</w:t>
      </w:r>
      <w:proofErr w:type="spellEnd"/>
      <w:r>
        <w:t xml:space="preserve"> moves on to discussing the content of the exhibitions. He </w:t>
      </w:r>
      <w:r w:rsidR="009D3804">
        <w:t xml:space="preserve">uses historical </w:t>
      </w:r>
      <w:r w:rsidR="001F7C29">
        <w:t xml:space="preserve">records of exposition exhibits </w:t>
      </w:r>
      <w:r w:rsidR="009D3804">
        <w:t>to analyze the overall tone</w:t>
      </w:r>
      <w:r w:rsidR="001F7C29">
        <w:t xml:space="preserve">. </w:t>
      </w:r>
      <w:r w:rsidR="009D3804">
        <w:t>“The Eskimo village created the impression that progress for these people would be judged by their racial attributes and by what and how much they contributed to the economic growth of America’s commercial empire” (56)</w:t>
      </w:r>
      <w:r w:rsidR="008362E4">
        <w:t xml:space="preserve">. </w:t>
      </w:r>
      <w:r w:rsidR="003159EE">
        <w:t xml:space="preserve">The expositions, </w:t>
      </w:r>
      <w:proofErr w:type="spellStart"/>
      <w:r w:rsidR="003159EE">
        <w:t>Rydell</w:t>
      </w:r>
      <w:proofErr w:type="spellEnd"/>
      <w:r w:rsidR="003159EE">
        <w:t xml:space="preserve"> suggests, created </w:t>
      </w:r>
      <w:r w:rsidR="004334A1">
        <w:t>a</w:t>
      </w:r>
      <w:r w:rsidR="00E34848">
        <w:t xml:space="preserve">n American foreign policy </w:t>
      </w:r>
      <w:r w:rsidR="003159EE">
        <w:t xml:space="preserve">myth </w:t>
      </w:r>
      <w:r w:rsidR="008362E4">
        <w:t xml:space="preserve">composed </w:t>
      </w:r>
      <w:r w:rsidR="006F1DA4">
        <w:t>of</w:t>
      </w:r>
      <w:r w:rsidR="00F17FF5">
        <w:t xml:space="preserve"> equal parts </w:t>
      </w:r>
      <w:r w:rsidR="008362E4">
        <w:t>racism, imperialism, and unfettered capitalism</w:t>
      </w:r>
      <w:r w:rsidR="00701327">
        <w:t xml:space="preserve"> that </w:t>
      </w:r>
      <w:r w:rsidR="00314FD2">
        <w:t xml:space="preserve">could be embraced </w:t>
      </w:r>
      <w:r w:rsidR="00E34848">
        <w:t xml:space="preserve">by </w:t>
      </w:r>
      <w:r w:rsidR="008362E4">
        <w:t xml:space="preserve">both </w:t>
      </w:r>
      <w:r w:rsidR="004334A1">
        <w:t>labor unions and big business interests</w:t>
      </w:r>
      <w:r w:rsidR="008362E4">
        <w:t>.</w:t>
      </w:r>
    </w:p>
    <w:p w:rsidR="00AA381E" w:rsidRDefault="00AA381E" w:rsidP="00FC2139">
      <w:r>
        <w:tab/>
        <w:t xml:space="preserve">In the readings, both </w:t>
      </w:r>
      <w:r w:rsidR="00D673D6">
        <w:t xml:space="preserve">Frank and </w:t>
      </w:r>
      <w:proofErr w:type="spellStart"/>
      <w:r>
        <w:t>Rydell</w:t>
      </w:r>
      <w:proofErr w:type="spellEnd"/>
      <w:r>
        <w:t xml:space="preserve"> demonstrate a willingness to </w:t>
      </w:r>
      <w:r w:rsidR="00DA7ECE">
        <w:t xml:space="preserve">provide a treatment of </w:t>
      </w:r>
      <w:r>
        <w:t xml:space="preserve">working class and minority populations </w:t>
      </w:r>
      <w:r w:rsidR="0094625E">
        <w:t xml:space="preserve">into their analysis of large-scale events. </w:t>
      </w:r>
      <w:r w:rsidR="00DD704C">
        <w:t>Of all the assigned authors, they have most adequately answered Thrush’s challenge.</w:t>
      </w:r>
    </w:p>
    <w:p w:rsidR="00BD6A64" w:rsidRDefault="00BD6A64" w:rsidP="00FC2139">
      <w:r>
        <w:t>Word</w:t>
      </w:r>
      <w:r w:rsidR="00911200">
        <w:t xml:space="preserve"> count:  1300</w:t>
      </w:r>
    </w:p>
    <w:p w:rsidR="00494EA9" w:rsidRDefault="00494EA9">
      <w:pPr>
        <w:rPr>
          <w:b/>
        </w:rPr>
      </w:pPr>
      <w:r>
        <w:rPr>
          <w:b/>
        </w:rPr>
        <w:br w:type="page"/>
      </w:r>
    </w:p>
    <w:p w:rsidR="00DB138B" w:rsidRPr="0024175D" w:rsidRDefault="00703F85" w:rsidP="00DB138B">
      <w:pPr>
        <w:pStyle w:val="ListParagraph"/>
        <w:spacing w:line="480" w:lineRule="auto"/>
        <w:rPr>
          <w:b/>
        </w:rPr>
      </w:pPr>
      <w:r w:rsidRPr="0024175D">
        <w:rPr>
          <w:b/>
        </w:rPr>
        <w:lastRenderedPageBreak/>
        <w:t>Works cited:</w:t>
      </w:r>
    </w:p>
    <w:p w:rsidR="0024175D" w:rsidRDefault="0024175D" w:rsidP="0024175D">
      <w:pPr>
        <w:pStyle w:val="ListParagraph"/>
        <w:spacing w:line="240" w:lineRule="auto"/>
      </w:pPr>
      <w:proofErr w:type="spellStart"/>
      <w:r>
        <w:t>Berton</w:t>
      </w:r>
      <w:proofErr w:type="spellEnd"/>
      <w:r>
        <w:t>, Pierre. “’</w:t>
      </w:r>
      <w:proofErr w:type="spellStart"/>
      <w:r>
        <w:t>Klondicitis</w:t>
      </w:r>
      <w:proofErr w:type="spellEnd"/>
      <w:r>
        <w:t xml:space="preserve">’: Seattle and the Rush North.” </w:t>
      </w:r>
      <w:r w:rsidRPr="00474A77">
        <w:rPr>
          <w:u w:val="single"/>
        </w:rPr>
        <w:t>Interpreting Alaska’s History.</w:t>
      </w:r>
      <w:r>
        <w:t xml:space="preserve"> Fairbanks, Alaska: University of Alaska, Anchorage.</w:t>
      </w:r>
    </w:p>
    <w:p w:rsidR="0024175D" w:rsidRDefault="0024175D" w:rsidP="0024175D">
      <w:pPr>
        <w:pStyle w:val="ListParagraph"/>
        <w:spacing w:line="240" w:lineRule="auto"/>
      </w:pPr>
    </w:p>
    <w:p w:rsidR="0024175D" w:rsidRDefault="0024175D" w:rsidP="0024175D">
      <w:pPr>
        <w:pStyle w:val="ListParagraph"/>
        <w:spacing w:line="240" w:lineRule="auto"/>
      </w:pPr>
      <w:r>
        <w:t xml:space="preserve">Blackford, </w:t>
      </w:r>
      <w:proofErr w:type="spellStart"/>
      <w:r>
        <w:t>Mansel</w:t>
      </w:r>
      <w:proofErr w:type="spellEnd"/>
      <w:r>
        <w:t xml:space="preserve"> G. “Civic Groups, Political Action, and City Planning in Seattle, 1892 - 1915”. </w:t>
      </w:r>
      <w:r>
        <w:rPr>
          <w:u w:val="single"/>
        </w:rPr>
        <w:t>Pacific Historical Review</w:t>
      </w:r>
      <w:r>
        <w:t>. (1980): 557 – 580.</w:t>
      </w:r>
    </w:p>
    <w:p w:rsidR="0024175D" w:rsidRPr="00032B9B" w:rsidRDefault="0024175D" w:rsidP="0024175D">
      <w:pPr>
        <w:pStyle w:val="ListParagraph"/>
        <w:spacing w:line="240" w:lineRule="auto"/>
      </w:pPr>
    </w:p>
    <w:p w:rsidR="0024175D" w:rsidRDefault="0024175D" w:rsidP="0024175D">
      <w:pPr>
        <w:pStyle w:val="ListParagraph"/>
        <w:spacing w:line="240" w:lineRule="auto"/>
      </w:pPr>
      <w:r>
        <w:t xml:space="preserve">Frank, Dana. “Race Relations and the Seattle Labor Movement, 1915 – 1929.” </w:t>
      </w:r>
      <w:r>
        <w:rPr>
          <w:u w:val="single"/>
        </w:rPr>
        <w:t>Pacific Northwest Quarterly</w:t>
      </w:r>
      <w:r>
        <w:t xml:space="preserve"> 86.0 (1995): 35-44.</w:t>
      </w:r>
    </w:p>
    <w:p w:rsidR="0024175D" w:rsidRDefault="0024175D" w:rsidP="0024175D">
      <w:pPr>
        <w:pStyle w:val="ListParagraph"/>
        <w:spacing w:line="240" w:lineRule="auto"/>
      </w:pPr>
    </w:p>
    <w:p w:rsidR="0024175D" w:rsidRDefault="0024175D" w:rsidP="0024175D">
      <w:pPr>
        <w:pStyle w:val="ListParagraph"/>
        <w:spacing w:line="240" w:lineRule="auto"/>
      </w:pPr>
      <w:r>
        <w:t xml:space="preserve">Friday, Chris. “’There are Chinese and Chinese’: Regional Variations in Imagining the ‘Other’, an illustrated essay and review.” </w:t>
      </w:r>
      <w:r>
        <w:rPr>
          <w:u w:val="single"/>
        </w:rPr>
        <w:t>Pacific Northwest Quarterly</w:t>
      </w:r>
      <w:r>
        <w:t xml:space="preserve"> 89.2 (1998): 98-104.</w:t>
      </w:r>
    </w:p>
    <w:p w:rsidR="0024175D" w:rsidRDefault="0024175D" w:rsidP="0024175D">
      <w:pPr>
        <w:pStyle w:val="ListParagraph"/>
        <w:spacing w:line="240" w:lineRule="auto"/>
      </w:pPr>
    </w:p>
    <w:p w:rsidR="0024175D" w:rsidRDefault="0024175D" w:rsidP="0024175D">
      <w:pPr>
        <w:pStyle w:val="ListParagraph"/>
        <w:spacing w:line="240" w:lineRule="auto"/>
      </w:pPr>
      <w:r>
        <w:t xml:space="preserve">Laurie, Clayton D.”’The Chinese Must Go’: The United States Army and Anti-Chinese Riots in Washington Territory, 1885-1886.” </w:t>
      </w:r>
      <w:r>
        <w:rPr>
          <w:u w:val="single"/>
        </w:rPr>
        <w:t>Pacific Northwest Quarterly</w:t>
      </w:r>
      <w:r>
        <w:t xml:space="preserve"> 81.1 (1990): 22-29.</w:t>
      </w:r>
    </w:p>
    <w:p w:rsidR="0024175D" w:rsidRDefault="0024175D" w:rsidP="0024175D">
      <w:pPr>
        <w:pStyle w:val="ListParagraph"/>
        <w:spacing w:line="240" w:lineRule="auto"/>
      </w:pPr>
    </w:p>
    <w:p w:rsidR="0024175D" w:rsidRDefault="0024175D" w:rsidP="0024175D">
      <w:pPr>
        <w:pStyle w:val="ListParagraph"/>
        <w:spacing w:line="240" w:lineRule="auto"/>
      </w:pPr>
      <w:r>
        <w:t xml:space="preserve">Morse, Kathryn. “The Klondike Gold Rush: Curriculum Materials for the History of the Pacific Northwest in Washington Public Schools.” University of Washington. </w:t>
      </w:r>
      <w:hyperlink r:id="rId6" w:history="1">
        <w:r w:rsidRPr="00BC69DC">
          <w:rPr>
            <w:rStyle w:val="Hyperlink"/>
          </w:rPr>
          <w:t>http://www.washington.edu/uwired/outreach/cspn/Website/Resources/Curriculum/Klondike/Klondike%20Main.html</w:t>
        </w:r>
      </w:hyperlink>
    </w:p>
    <w:p w:rsidR="0024175D" w:rsidRDefault="0024175D" w:rsidP="0024175D">
      <w:pPr>
        <w:pStyle w:val="ListParagraph"/>
        <w:spacing w:line="240" w:lineRule="auto"/>
      </w:pPr>
    </w:p>
    <w:p w:rsidR="00B5027A" w:rsidRDefault="00B5027A" w:rsidP="0024175D">
      <w:pPr>
        <w:pStyle w:val="ListParagraph"/>
        <w:spacing w:line="240" w:lineRule="auto"/>
      </w:pPr>
      <w:proofErr w:type="spellStart"/>
      <w:r>
        <w:t>Rydell</w:t>
      </w:r>
      <w:proofErr w:type="spellEnd"/>
      <w:r>
        <w:t xml:space="preserve">, Robert. “Visions of Empire: International Expositions in Portland and Seattle, 1905-1909.” </w:t>
      </w:r>
      <w:r>
        <w:rPr>
          <w:u w:val="single"/>
        </w:rPr>
        <w:t>Pacific Historical Review</w:t>
      </w:r>
      <w:r>
        <w:t>. (1983): 37-65.</w:t>
      </w:r>
    </w:p>
    <w:p w:rsidR="00032B9B" w:rsidRDefault="00032B9B" w:rsidP="0024175D">
      <w:pPr>
        <w:pStyle w:val="ListParagraph"/>
        <w:spacing w:line="240" w:lineRule="auto"/>
      </w:pPr>
    </w:p>
    <w:p w:rsidR="0024175D" w:rsidRDefault="0024175D" w:rsidP="0024175D">
      <w:pPr>
        <w:pStyle w:val="ListParagraph"/>
        <w:spacing w:line="240" w:lineRule="auto"/>
      </w:pPr>
      <w:r>
        <w:t xml:space="preserve">Thrush, Coll. “City of the Changers: Indigenous People and the Transformation of Seattle’s Watersheds.” </w:t>
      </w:r>
      <w:r w:rsidRPr="00703F85">
        <w:rPr>
          <w:u w:val="single"/>
        </w:rPr>
        <w:t>Pacific Historical Review</w:t>
      </w:r>
      <w:r>
        <w:t xml:space="preserve"> 75.1 (2006): 89-117.</w:t>
      </w:r>
    </w:p>
    <w:sectPr w:rsidR="0024175D" w:rsidSect="00F50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82DD5"/>
    <w:multiLevelType w:val="hybridMultilevel"/>
    <w:tmpl w:val="DFBA8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E814B8"/>
    <w:multiLevelType w:val="hybridMultilevel"/>
    <w:tmpl w:val="DDAA4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54D38"/>
    <w:rsid w:val="00005AE2"/>
    <w:rsid w:val="00010DD8"/>
    <w:rsid w:val="0003091F"/>
    <w:rsid w:val="00032B9B"/>
    <w:rsid w:val="00065120"/>
    <w:rsid w:val="00077F04"/>
    <w:rsid w:val="00085CAF"/>
    <w:rsid w:val="000933B5"/>
    <w:rsid w:val="00096E51"/>
    <w:rsid w:val="000B0354"/>
    <w:rsid w:val="000B041A"/>
    <w:rsid w:val="000B7B8A"/>
    <w:rsid w:val="000B7C1F"/>
    <w:rsid w:val="000D40AB"/>
    <w:rsid w:val="000E1946"/>
    <w:rsid w:val="000E7DD8"/>
    <w:rsid w:val="00103AD7"/>
    <w:rsid w:val="001066FF"/>
    <w:rsid w:val="00120986"/>
    <w:rsid w:val="001448E6"/>
    <w:rsid w:val="001A5AC9"/>
    <w:rsid w:val="001C42A4"/>
    <w:rsid w:val="001F7C29"/>
    <w:rsid w:val="00211936"/>
    <w:rsid w:val="0024175D"/>
    <w:rsid w:val="002977DE"/>
    <w:rsid w:val="002A3423"/>
    <w:rsid w:val="002D14DD"/>
    <w:rsid w:val="002F540D"/>
    <w:rsid w:val="00304FFC"/>
    <w:rsid w:val="00314FD2"/>
    <w:rsid w:val="003159EE"/>
    <w:rsid w:val="003211F0"/>
    <w:rsid w:val="003432E9"/>
    <w:rsid w:val="00350109"/>
    <w:rsid w:val="00384655"/>
    <w:rsid w:val="00395C95"/>
    <w:rsid w:val="003A3423"/>
    <w:rsid w:val="003A6463"/>
    <w:rsid w:val="003E1FCC"/>
    <w:rsid w:val="003E4F1A"/>
    <w:rsid w:val="003E77C5"/>
    <w:rsid w:val="00401CA4"/>
    <w:rsid w:val="004334A1"/>
    <w:rsid w:val="00457365"/>
    <w:rsid w:val="00457D64"/>
    <w:rsid w:val="00474A77"/>
    <w:rsid w:val="004757C3"/>
    <w:rsid w:val="00482E37"/>
    <w:rsid w:val="00482F98"/>
    <w:rsid w:val="00494EA9"/>
    <w:rsid w:val="00496983"/>
    <w:rsid w:val="004C7B22"/>
    <w:rsid w:val="004F208A"/>
    <w:rsid w:val="005249E3"/>
    <w:rsid w:val="00537CD3"/>
    <w:rsid w:val="005403AD"/>
    <w:rsid w:val="00543910"/>
    <w:rsid w:val="00544116"/>
    <w:rsid w:val="00554D38"/>
    <w:rsid w:val="00563D59"/>
    <w:rsid w:val="005B327C"/>
    <w:rsid w:val="005C2C9E"/>
    <w:rsid w:val="005E3098"/>
    <w:rsid w:val="005E4CEE"/>
    <w:rsid w:val="005F006D"/>
    <w:rsid w:val="00620ADD"/>
    <w:rsid w:val="00625135"/>
    <w:rsid w:val="00645CA7"/>
    <w:rsid w:val="006523AE"/>
    <w:rsid w:val="00667191"/>
    <w:rsid w:val="00675B3B"/>
    <w:rsid w:val="00697FC9"/>
    <w:rsid w:val="006A49E7"/>
    <w:rsid w:val="006B3D8C"/>
    <w:rsid w:val="006F1DA4"/>
    <w:rsid w:val="00701327"/>
    <w:rsid w:val="00703F85"/>
    <w:rsid w:val="0071350B"/>
    <w:rsid w:val="007144DA"/>
    <w:rsid w:val="0073240C"/>
    <w:rsid w:val="0074057E"/>
    <w:rsid w:val="007465AE"/>
    <w:rsid w:val="00770AF4"/>
    <w:rsid w:val="00780B43"/>
    <w:rsid w:val="0079321C"/>
    <w:rsid w:val="007A4F3A"/>
    <w:rsid w:val="007C0FF0"/>
    <w:rsid w:val="007C149C"/>
    <w:rsid w:val="007D52DD"/>
    <w:rsid w:val="007F1C1D"/>
    <w:rsid w:val="007F40F7"/>
    <w:rsid w:val="0080023C"/>
    <w:rsid w:val="008002BF"/>
    <w:rsid w:val="0082119E"/>
    <w:rsid w:val="008362E4"/>
    <w:rsid w:val="00843E05"/>
    <w:rsid w:val="0085203F"/>
    <w:rsid w:val="008547C6"/>
    <w:rsid w:val="00881BCC"/>
    <w:rsid w:val="008A77C1"/>
    <w:rsid w:val="008B068F"/>
    <w:rsid w:val="008C15D9"/>
    <w:rsid w:val="008D50DD"/>
    <w:rsid w:val="0090539E"/>
    <w:rsid w:val="00911200"/>
    <w:rsid w:val="00924E79"/>
    <w:rsid w:val="00935695"/>
    <w:rsid w:val="00945C2C"/>
    <w:rsid w:val="0094625E"/>
    <w:rsid w:val="00957E5E"/>
    <w:rsid w:val="00973280"/>
    <w:rsid w:val="009D3804"/>
    <w:rsid w:val="009D4B3B"/>
    <w:rsid w:val="009E7FF0"/>
    <w:rsid w:val="009F0D81"/>
    <w:rsid w:val="00A066ED"/>
    <w:rsid w:val="00A34C92"/>
    <w:rsid w:val="00A367E1"/>
    <w:rsid w:val="00A53983"/>
    <w:rsid w:val="00A7306C"/>
    <w:rsid w:val="00A80B8C"/>
    <w:rsid w:val="00AA0BF8"/>
    <w:rsid w:val="00AA381E"/>
    <w:rsid w:val="00AD0169"/>
    <w:rsid w:val="00AD2EB3"/>
    <w:rsid w:val="00AF3F1E"/>
    <w:rsid w:val="00B0402B"/>
    <w:rsid w:val="00B27E00"/>
    <w:rsid w:val="00B31DE7"/>
    <w:rsid w:val="00B5027A"/>
    <w:rsid w:val="00B71980"/>
    <w:rsid w:val="00B74B93"/>
    <w:rsid w:val="00BB48EA"/>
    <w:rsid w:val="00BB76C1"/>
    <w:rsid w:val="00BD27AA"/>
    <w:rsid w:val="00BD6A64"/>
    <w:rsid w:val="00BE283A"/>
    <w:rsid w:val="00C216AF"/>
    <w:rsid w:val="00C223C6"/>
    <w:rsid w:val="00C55BA5"/>
    <w:rsid w:val="00C5601E"/>
    <w:rsid w:val="00C75DA3"/>
    <w:rsid w:val="00CB518C"/>
    <w:rsid w:val="00CD5662"/>
    <w:rsid w:val="00CD6BF6"/>
    <w:rsid w:val="00CE45AA"/>
    <w:rsid w:val="00CF1647"/>
    <w:rsid w:val="00D05E9D"/>
    <w:rsid w:val="00D12D0F"/>
    <w:rsid w:val="00D40234"/>
    <w:rsid w:val="00D409CE"/>
    <w:rsid w:val="00D56A4D"/>
    <w:rsid w:val="00D570B4"/>
    <w:rsid w:val="00D673D6"/>
    <w:rsid w:val="00D700EA"/>
    <w:rsid w:val="00D72373"/>
    <w:rsid w:val="00D7434E"/>
    <w:rsid w:val="00D75CCD"/>
    <w:rsid w:val="00D821C3"/>
    <w:rsid w:val="00D92120"/>
    <w:rsid w:val="00DA7ECE"/>
    <w:rsid w:val="00DB138B"/>
    <w:rsid w:val="00DC6F2B"/>
    <w:rsid w:val="00DC710D"/>
    <w:rsid w:val="00DD704C"/>
    <w:rsid w:val="00DE310F"/>
    <w:rsid w:val="00DF20F8"/>
    <w:rsid w:val="00E118E3"/>
    <w:rsid w:val="00E20C77"/>
    <w:rsid w:val="00E25F29"/>
    <w:rsid w:val="00E34848"/>
    <w:rsid w:val="00E34E35"/>
    <w:rsid w:val="00E42EB3"/>
    <w:rsid w:val="00E65012"/>
    <w:rsid w:val="00E92FDB"/>
    <w:rsid w:val="00EA0277"/>
    <w:rsid w:val="00EA1647"/>
    <w:rsid w:val="00EA27CC"/>
    <w:rsid w:val="00EB2578"/>
    <w:rsid w:val="00ED565D"/>
    <w:rsid w:val="00ED635F"/>
    <w:rsid w:val="00EF36F5"/>
    <w:rsid w:val="00F17FF5"/>
    <w:rsid w:val="00F5017E"/>
    <w:rsid w:val="00F5484B"/>
    <w:rsid w:val="00F57F15"/>
    <w:rsid w:val="00F83FC8"/>
    <w:rsid w:val="00F97D5C"/>
    <w:rsid w:val="00FA4E04"/>
    <w:rsid w:val="00FC2139"/>
    <w:rsid w:val="00FF1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D38"/>
    <w:pPr>
      <w:ind w:left="720"/>
      <w:contextualSpacing/>
    </w:pPr>
  </w:style>
  <w:style w:type="character" w:styleId="Hyperlink">
    <w:name w:val="Hyperlink"/>
    <w:basedOn w:val="DefaultParagraphFont"/>
    <w:uiPriority w:val="99"/>
    <w:unhideWhenUsed/>
    <w:rsid w:val="005439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ashington.edu/uwired/outreach/cspn/Website/Resources/Curriculum/Klondike/Klondike%20Mai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1AC6B-0825-4D92-8A98-4A73A846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4</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ethancr</dc:creator>
  <cp:keywords/>
  <dc:description/>
  <cp:lastModifiedBy>ethancr</cp:lastModifiedBy>
  <cp:revision>183</cp:revision>
  <dcterms:created xsi:type="dcterms:W3CDTF">2007-07-14T21:14:00Z</dcterms:created>
  <dcterms:modified xsi:type="dcterms:W3CDTF">2007-07-16T18:06:00Z</dcterms:modified>
</cp:coreProperties>
</file>