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910" w:rsidRDefault="00543910" w:rsidP="002472EB">
      <w:pPr>
        <w:spacing w:line="240" w:lineRule="auto"/>
        <w:jc w:val="right"/>
        <w:rPr>
          <w:b/>
        </w:rPr>
      </w:pPr>
      <w:r>
        <w:rPr>
          <w:b/>
        </w:rPr>
        <w:t>Ethan Crawford</w:t>
      </w:r>
      <w:r>
        <w:rPr>
          <w:b/>
        </w:rPr>
        <w:br/>
        <w:t>BIS 339</w:t>
      </w:r>
      <w:r>
        <w:rPr>
          <w:b/>
        </w:rPr>
        <w:br/>
      </w:r>
      <w:r w:rsidR="00B80A76">
        <w:rPr>
          <w:b/>
        </w:rPr>
        <w:t xml:space="preserve">August </w:t>
      </w:r>
      <w:r>
        <w:rPr>
          <w:b/>
        </w:rPr>
        <w:t>1</w:t>
      </w:r>
      <w:r w:rsidR="00B80A76">
        <w:rPr>
          <w:b/>
        </w:rPr>
        <w:t>5, 2007</w:t>
      </w:r>
      <w:r w:rsidR="00B80A76">
        <w:rPr>
          <w:b/>
        </w:rPr>
        <w:br/>
        <w:t>Take-home exam 2</w:t>
      </w:r>
    </w:p>
    <w:p w:rsidR="00D92B84" w:rsidRDefault="00D92B84" w:rsidP="009E7E1A">
      <w:pPr>
        <w:spacing w:line="480" w:lineRule="auto"/>
      </w:pPr>
      <w:r w:rsidRPr="00D92B84">
        <w:rPr>
          <w:i/>
        </w:rPr>
        <w:t>"The reconciliation of growth and the environment...is the vast and grand work of the 21st century</w:t>
      </w:r>
      <w:r>
        <w:rPr>
          <w:i/>
        </w:rPr>
        <w:t xml:space="preserve">.” </w:t>
      </w:r>
      <w:r>
        <w:t xml:space="preserve"> </w:t>
      </w:r>
      <w:r w:rsidRPr="00D92B84">
        <w:t>Kevin Starr</w:t>
      </w:r>
      <w:r>
        <w:t>, California librarian</w:t>
      </w:r>
    </w:p>
    <w:p w:rsidR="00C901D8" w:rsidRDefault="00FE6D6E" w:rsidP="009E7E1A">
      <w:pPr>
        <w:spacing w:line="480" w:lineRule="auto"/>
      </w:pPr>
      <w:r>
        <w:tab/>
      </w:r>
      <w:r w:rsidR="009928EA">
        <w:t>Each of t</w:t>
      </w:r>
      <w:r w:rsidR="00F851F4">
        <w:t xml:space="preserve">he authors </w:t>
      </w:r>
      <w:r w:rsidR="00E4638A">
        <w:t xml:space="preserve">read in this section </w:t>
      </w:r>
      <w:r w:rsidR="00560658">
        <w:t>address</w:t>
      </w:r>
      <w:r w:rsidR="00A03A15">
        <w:t xml:space="preserve">, in </w:t>
      </w:r>
      <w:r w:rsidR="00560658">
        <w:t xml:space="preserve">differing </w:t>
      </w:r>
      <w:r w:rsidR="00A03A15">
        <w:t xml:space="preserve">ways, the relationship between </w:t>
      </w:r>
      <w:r w:rsidR="00F851F4">
        <w:t>urban development</w:t>
      </w:r>
      <w:r w:rsidR="00A03A15">
        <w:t xml:space="preserve">, </w:t>
      </w:r>
      <w:r w:rsidR="00F851F4">
        <w:t xml:space="preserve">power concentration, </w:t>
      </w:r>
      <w:r w:rsidR="00A03A15">
        <w:t xml:space="preserve">and distribution of </w:t>
      </w:r>
      <w:r w:rsidR="00E45BA7">
        <w:t xml:space="preserve">wealth in the Seattle region. </w:t>
      </w:r>
      <w:r w:rsidR="00D8341F">
        <w:t xml:space="preserve">The focus is on </w:t>
      </w:r>
      <w:r w:rsidR="00E45BA7">
        <w:t>three main core industries</w:t>
      </w:r>
      <w:r w:rsidR="008F0FAE">
        <w:t xml:space="preserve"> (</w:t>
      </w:r>
      <w:r w:rsidR="00E45BA7">
        <w:t>aerospace, software, and biotechnology</w:t>
      </w:r>
      <w:r w:rsidR="008F0FAE">
        <w:t>)</w:t>
      </w:r>
      <w:r w:rsidR="00E45BA7">
        <w:t xml:space="preserve"> from economic</w:t>
      </w:r>
      <w:r w:rsidR="00BE41F3">
        <w:t xml:space="preserve">, social, and political </w:t>
      </w:r>
      <w:r w:rsidR="00E45BA7">
        <w:t>perspectives</w:t>
      </w:r>
      <w:r w:rsidR="008F0FAE">
        <w:t xml:space="preserve">, and on </w:t>
      </w:r>
      <w:r w:rsidR="00E45BA7">
        <w:t xml:space="preserve">the </w:t>
      </w:r>
      <w:r w:rsidR="003B7EFD">
        <w:t>efficacy</w:t>
      </w:r>
      <w:r w:rsidR="00727FD1">
        <w:t xml:space="preserve"> </w:t>
      </w:r>
      <w:r w:rsidR="00E45BA7">
        <w:t xml:space="preserve">of </w:t>
      </w:r>
      <w:r w:rsidR="002A7111">
        <w:t xml:space="preserve">community </w:t>
      </w:r>
      <w:r w:rsidR="00E45BA7">
        <w:t>response t</w:t>
      </w:r>
      <w:r w:rsidR="00B0090B">
        <w:t>o corporate</w:t>
      </w:r>
      <w:r w:rsidR="009D6A99">
        <w:t xml:space="preserve"> decisions</w:t>
      </w:r>
      <w:r w:rsidR="00E45BA7">
        <w:t xml:space="preserve">. </w:t>
      </w:r>
      <w:r w:rsidR="003C1806">
        <w:t xml:space="preserve">In this paper, I will argue that authors </w:t>
      </w:r>
      <w:r w:rsidR="003C1806" w:rsidRPr="003C1806">
        <w:t xml:space="preserve">Sell, Morrill </w:t>
      </w:r>
      <w:r w:rsidR="00617DC8">
        <w:t>and</w:t>
      </w:r>
      <w:r w:rsidR="003C1806" w:rsidRPr="003C1806">
        <w:t xml:space="preserve"> </w:t>
      </w:r>
      <w:proofErr w:type="spellStart"/>
      <w:r w:rsidR="003C1806" w:rsidRPr="003C1806">
        <w:t>Sommers</w:t>
      </w:r>
      <w:proofErr w:type="spellEnd"/>
      <w:r w:rsidR="003C1806" w:rsidRPr="003C1806">
        <w:t xml:space="preserve">, and Gray, </w:t>
      </w:r>
      <w:proofErr w:type="spellStart"/>
      <w:r w:rsidR="003C1806" w:rsidRPr="003C1806">
        <w:t>Golab</w:t>
      </w:r>
      <w:proofErr w:type="spellEnd"/>
      <w:r w:rsidR="003C1806" w:rsidRPr="003C1806">
        <w:t xml:space="preserve"> </w:t>
      </w:r>
      <w:r w:rsidR="00617DC8">
        <w:t>and</w:t>
      </w:r>
      <w:r w:rsidR="003C1806" w:rsidRPr="003C1806">
        <w:t xml:space="preserve"> </w:t>
      </w:r>
      <w:proofErr w:type="spellStart"/>
      <w:r w:rsidR="003C1806" w:rsidRPr="003C1806">
        <w:t>Marusen</w:t>
      </w:r>
      <w:proofErr w:type="spellEnd"/>
      <w:r w:rsidR="00DF5633">
        <w:t xml:space="preserve"> use different approaches to make a similar case for laissez-faire </w:t>
      </w:r>
      <w:r w:rsidR="005C78E1">
        <w:t xml:space="preserve">economic principles. I will then present an alternative perspective </w:t>
      </w:r>
      <w:r w:rsidR="00070209">
        <w:t xml:space="preserve">exploring the human side of </w:t>
      </w:r>
      <w:r w:rsidR="005C78E1">
        <w:t xml:space="preserve">economic growth, as represented in the works of </w:t>
      </w:r>
      <w:proofErr w:type="spellStart"/>
      <w:r w:rsidR="005C78E1">
        <w:t>Portney</w:t>
      </w:r>
      <w:proofErr w:type="spellEnd"/>
      <w:r w:rsidR="005C78E1">
        <w:t xml:space="preserve"> and </w:t>
      </w:r>
      <w:proofErr w:type="spellStart"/>
      <w:r w:rsidR="005C78E1">
        <w:t>Bodley</w:t>
      </w:r>
      <w:proofErr w:type="spellEnd"/>
      <w:r w:rsidR="005C78E1">
        <w:t xml:space="preserve">. Finally, I will provide an analysis suggesting that an </w:t>
      </w:r>
      <w:r w:rsidR="00D445A1">
        <w:t xml:space="preserve">increased, </w:t>
      </w:r>
      <w:r w:rsidR="005C78E1">
        <w:t xml:space="preserve">incremental, </w:t>
      </w:r>
      <w:r w:rsidR="00C500EE">
        <w:t>consistent</w:t>
      </w:r>
      <w:r w:rsidR="005C78E1">
        <w:t xml:space="preserve"> approach to business regulation will provide the </w:t>
      </w:r>
      <w:r w:rsidR="00E61916">
        <w:t>best opportunity for balancing economi</w:t>
      </w:r>
      <w:r w:rsidR="000453CC">
        <w:t>c growth and community concerns in the future.</w:t>
      </w:r>
    </w:p>
    <w:p w:rsidR="00A73842" w:rsidRDefault="0001671D" w:rsidP="00522E71">
      <w:pPr>
        <w:spacing w:line="480" w:lineRule="auto"/>
      </w:pPr>
      <w:r>
        <w:tab/>
      </w:r>
      <w:r w:rsidR="001616DF">
        <w:t>Of all the authors in the “Adam Smith” group, T.M. Sell</w:t>
      </w:r>
      <w:r w:rsidR="00FB62AC">
        <w:t xml:space="preserve">’s treatment of the history of the </w:t>
      </w:r>
      <w:r w:rsidR="001616DF">
        <w:t xml:space="preserve">Boeing corporation </w:t>
      </w:r>
      <w:r w:rsidR="00FB62AC">
        <w:t>is perhaps the most even-handed</w:t>
      </w:r>
      <w:r w:rsidR="001616DF">
        <w:t xml:space="preserve">. His focus is on the “paradox of growth”, the condition of corporate growth having </w:t>
      </w:r>
      <w:r w:rsidR="00595A44">
        <w:t xml:space="preserve">a </w:t>
      </w:r>
      <w:r w:rsidR="001616DF">
        <w:t>greater negative than positive impact on the community in</w:t>
      </w:r>
      <w:r w:rsidR="00FC7FA9">
        <w:t>to</w:t>
      </w:r>
      <w:r w:rsidR="001616DF">
        <w:t xml:space="preserve"> which </w:t>
      </w:r>
      <w:r w:rsidR="00D115FB">
        <w:t>it expands</w:t>
      </w:r>
      <w:r w:rsidR="001616DF">
        <w:t xml:space="preserve">. </w:t>
      </w:r>
      <w:r w:rsidR="00595A44">
        <w:t xml:space="preserve">Sell details the double-edged sword </w:t>
      </w:r>
      <w:r w:rsidR="00BA5AA1">
        <w:t xml:space="preserve">which </w:t>
      </w:r>
      <w:r w:rsidR="00595A44">
        <w:t xml:space="preserve">was Boeing’s business model: it could afford to employ large numbers of skilled workers for </w:t>
      </w:r>
      <w:r w:rsidR="00ED40D8">
        <w:t xml:space="preserve">high </w:t>
      </w:r>
      <w:r w:rsidR="00595A44">
        <w:t xml:space="preserve">wages </w:t>
      </w:r>
      <w:r w:rsidR="00ED40D8">
        <w:t xml:space="preserve">, but was </w:t>
      </w:r>
      <w:r w:rsidR="00595A44">
        <w:t xml:space="preserve">completely dependent on </w:t>
      </w:r>
      <w:r w:rsidR="00652E0D">
        <w:t xml:space="preserve">inconsistent </w:t>
      </w:r>
      <w:r w:rsidR="00595A44">
        <w:t>customers with drastically-varying demands</w:t>
      </w:r>
      <w:r w:rsidR="00464388">
        <w:t xml:space="preserve">, causing it to </w:t>
      </w:r>
      <w:r w:rsidR="005C2E60">
        <w:t xml:space="preserve">demonstrate </w:t>
      </w:r>
      <w:r w:rsidR="00A743DC">
        <w:t>“bulimic”</w:t>
      </w:r>
      <w:r w:rsidR="001513BD">
        <w:t xml:space="preserve"> tendencies </w:t>
      </w:r>
      <w:r w:rsidR="00F02938">
        <w:t xml:space="preserve">in hiring and </w:t>
      </w:r>
      <w:r w:rsidR="005C2E60">
        <w:t xml:space="preserve">firing </w:t>
      </w:r>
      <w:r w:rsidR="00004C28">
        <w:t xml:space="preserve">(Sell, </w:t>
      </w:r>
      <w:r w:rsidR="001513BD">
        <w:t>26).</w:t>
      </w:r>
      <w:r w:rsidR="00522E71">
        <w:t xml:space="preserve"> He discusses how </w:t>
      </w:r>
      <w:r w:rsidR="00A73842">
        <w:t>Boeing faced increased legislative and community pressure</w:t>
      </w:r>
      <w:r w:rsidR="0059716E">
        <w:t xml:space="preserve"> in later years</w:t>
      </w:r>
      <w:r w:rsidR="00A73842">
        <w:t xml:space="preserve">, first through toughened environmental regulations, and later through the 1990 Growth Management Act, a bill that required corporations to set aside dedicated areas for development and </w:t>
      </w:r>
      <w:r w:rsidR="00A73842">
        <w:lastRenderedPageBreak/>
        <w:t>ensure that local infrastructure was developed a</w:t>
      </w:r>
      <w:r w:rsidR="00623ED5">
        <w:t xml:space="preserve">head of corporate construction </w:t>
      </w:r>
      <w:r w:rsidR="00D62AA0">
        <w:t>(</w:t>
      </w:r>
      <w:r w:rsidR="002C1D79">
        <w:t>45-48).</w:t>
      </w:r>
      <w:r w:rsidR="00BC1EF8">
        <w:t xml:space="preserve"> </w:t>
      </w:r>
      <w:r w:rsidR="006C2634">
        <w:t xml:space="preserve">He </w:t>
      </w:r>
      <w:r w:rsidR="00210B95">
        <w:t xml:space="preserve">touches briefly on the potential inequities created when massed wealth is used to purchase </w:t>
      </w:r>
      <w:r w:rsidR="00542688">
        <w:t>a relatively larger</w:t>
      </w:r>
      <w:r w:rsidR="00CF36DE">
        <w:t xml:space="preserve"> share of the public discourse. “The assumption here is that wealth equals power; it is probably safer to say that it is a necessary but incomplete ingredient, like oxygen to fire.” (115</w:t>
      </w:r>
      <w:r w:rsidR="00D96C3E">
        <w:t xml:space="preserve">). While acknowledging that a potential for power differential is created by wealth, Sell explicitly avoids the implication that the two </w:t>
      </w:r>
      <w:r w:rsidR="00AA01DA">
        <w:t>always go hand-in-hand.</w:t>
      </w:r>
    </w:p>
    <w:p w:rsidR="004F0B9A" w:rsidRDefault="004763DD" w:rsidP="009E7E1A">
      <w:pPr>
        <w:spacing w:line="480" w:lineRule="auto"/>
      </w:pPr>
      <w:r>
        <w:tab/>
        <w:t xml:space="preserve">Morrill and </w:t>
      </w:r>
      <w:proofErr w:type="spellStart"/>
      <w:r>
        <w:t>Sommers</w:t>
      </w:r>
      <w:proofErr w:type="spellEnd"/>
      <w:r>
        <w:t xml:space="preserve"> take a more general approach, inspecting </w:t>
      </w:r>
      <w:r w:rsidR="00DB4DDA">
        <w:t>a variety of</w:t>
      </w:r>
      <w:r>
        <w:t xml:space="preserve"> </w:t>
      </w:r>
      <w:r w:rsidR="00DB4DDA">
        <w:t xml:space="preserve">urban development </w:t>
      </w:r>
      <w:r>
        <w:t xml:space="preserve">theories that might </w:t>
      </w:r>
      <w:r w:rsidR="00DB4DDA">
        <w:t xml:space="preserve">caused </w:t>
      </w:r>
      <w:r>
        <w:t xml:space="preserve">the emergence of Seattle as a </w:t>
      </w:r>
      <w:r w:rsidR="00916B9C">
        <w:t xml:space="preserve">locus of </w:t>
      </w:r>
      <w:r w:rsidR="00285464">
        <w:t xml:space="preserve">computing </w:t>
      </w:r>
      <w:r>
        <w:t xml:space="preserve">and biotechnology. </w:t>
      </w:r>
      <w:r w:rsidR="009A1A4E">
        <w:t>They discuss demographic</w:t>
      </w:r>
      <w:r w:rsidR="000A2319">
        <w:t xml:space="preserve">s, </w:t>
      </w:r>
      <w:r w:rsidR="009A1A4E">
        <w:t xml:space="preserve"> </w:t>
      </w:r>
      <w:r w:rsidR="001C440A">
        <w:t xml:space="preserve">the creative culture of the urban center, </w:t>
      </w:r>
      <w:r w:rsidR="009A1A4E">
        <w:t>the conjunction of the Gates family and Boeing Computer Services</w:t>
      </w:r>
      <w:r w:rsidR="00FA3FAB">
        <w:t>, and the emerge</w:t>
      </w:r>
      <w:r w:rsidR="000A2319">
        <w:t>nce of Microsoft as a monopoly</w:t>
      </w:r>
      <w:r w:rsidR="004F0B9A">
        <w:t xml:space="preserve"> (Morrill and </w:t>
      </w:r>
      <w:proofErr w:type="spellStart"/>
      <w:r w:rsidR="004F0B9A">
        <w:t>Sommers</w:t>
      </w:r>
      <w:proofErr w:type="spellEnd"/>
      <w:r w:rsidR="004F0B9A">
        <w:t>, 13)</w:t>
      </w:r>
      <w:r w:rsidR="001B1E73">
        <w:t xml:space="preserve">. </w:t>
      </w:r>
      <w:r w:rsidR="00031CDD">
        <w:t xml:space="preserve">The authors conclude that </w:t>
      </w:r>
      <w:r w:rsidR="005A2841">
        <w:t xml:space="preserve">Seattle’s </w:t>
      </w:r>
      <w:r w:rsidR="00031CDD">
        <w:t xml:space="preserve">current state </w:t>
      </w:r>
      <w:r w:rsidR="005A2841">
        <w:t xml:space="preserve">is equal parts serendipity and </w:t>
      </w:r>
      <w:proofErr w:type="spellStart"/>
      <w:r w:rsidR="001B1E73">
        <w:t>urbanist</w:t>
      </w:r>
      <w:proofErr w:type="spellEnd"/>
      <w:r w:rsidR="001B1E73">
        <w:t>/agglomeration</w:t>
      </w:r>
      <w:r w:rsidR="005A2841">
        <w:t>-driven</w:t>
      </w:r>
      <w:r w:rsidR="003C7472">
        <w:t>.</w:t>
      </w:r>
    </w:p>
    <w:p w:rsidR="00D931BC" w:rsidRDefault="00056CB5" w:rsidP="009E7E1A">
      <w:pPr>
        <w:spacing w:line="480" w:lineRule="auto"/>
      </w:pPr>
      <w:r>
        <w:tab/>
        <w:t xml:space="preserve">Gray, </w:t>
      </w:r>
      <w:proofErr w:type="spellStart"/>
      <w:r>
        <w:t>Golob</w:t>
      </w:r>
      <w:proofErr w:type="spellEnd"/>
      <w:r>
        <w:t xml:space="preserve">, and </w:t>
      </w:r>
      <w:proofErr w:type="spellStart"/>
      <w:r>
        <w:t>Markusen</w:t>
      </w:r>
      <w:proofErr w:type="spellEnd"/>
      <w:r>
        <w:t xml:space="preserve"> </w:t>
      </w:r>
      <w:r w:rsidRPr="00056CB5">
        <w:t xml:space="preserve">explore </w:t>
      </w:r>
      <w:r w:rsidR="00497631">
        <w:t xml:space="preserve">similar ground to Morrill and </w:t>
      </w:r>
      <w:proofErr w:type="spellStart"/>
      <w:r w:rsidR="00497631">
        <w:t>Sommers</w:t>
      </w:r>
      <w:proofErr w:type="spellEnd"/>
      <w:r w:rsidR="00497631">
        <w:t xml:space="preserve"> in evaluating </w:t>
      </w:r>
      <w:r>
        <w:t>the “hub and spoke” hypothesis, t</w:t>
      </w:r>
      <w:r w:rsidR="0000652E">
        <w:t xml:space="preserve">he significance of </w:t>
      </w:r>
      <w:r>
        <w:t xml:space="preserve">which </w:t>
      </w:r>
      <w:r w:rsidR="0000652E">
        <w:t xml:space="preserve">is </w:t>
      </w:r>
      <w:r w:rsidR="00711F45">
        <w:t xml:space="preserve">to </w:t>
      </w:r>
      <w:r w:rsidR="0000652E">
        <w:t>explain</w:t>
      </w:r>
      <w:r w:rsidR="00A73CAF">
        <w:t xml:space="preserve"> why, despite economic booms and busts, </w:t>
      </w:r>
      <w:r w:rsidR="0000652E">
        <w:t xml:space="preserve">certain areas of the world seem </w:t>
      </w:r>
      <w:r w:rsidR="000F62EF">
        <w:t xml:space="preserve">more </w:t>
      </w:r>
      <w:r w:rsidR="0000652E">
        <w:t>suited to hosting specific industries</w:t>
      </w:r>
      <w:r w:rsidR="000F62EF">
        <w:t xml:space="preserve"> than others</w:t>
      </w:r>
      <w:r w:rsidR="0000652E">
        <w:t xml:space="preserve">. </w:t>
      </w:r>
      <w:r w:rsidR="005D6684">
        <w:t xml:space="preserve">Using </w:t>
      </w:r>
      <w:r w:rsidR="00711F45">
        <w:t>Seattle</w:t>
      </w:r>
      <w:r w:rsidR="005D6684">
        <w:t xml:space="preserve"> as an example</w:t>
      </w:r>
      <w:r w:rsidR="00711F45">
        <w:t xml:space="preserve">, the authors speculate that Boeing, Microsoft, and Fred Hutchinson </w:t>
      </w:r>
      <w:r w:rsidR="00A977D4">
        <w:t>act as hubs</w:t>
      </w:r>
      <w:r w:rsidR="00931849">
        <w:t xml:space="preserve">, serving in various ways to help cultivate a culture, a workforce, and a set of niches in which other smaller players can </w:t>
      </w:r>
      <w:r w:rsidR="00B43E96">
        <w:t>thrive</w:t>
      </w:r>
      <w:r w:rsidR="00931849">
        <w:t>.</w:t>
      </w:r>
    </w:p>
    <w:p w:rsidR="00C04188" w:rsidRDefault="005D6A3E" w:rsidP="009E7E1A">
      <w:pPr>
        <w:spacing w:line="480" w:lineRule="auto"/>
      </w:pPr>
      <w:r>
        <w:tab/>
      </w:r>
      <w:r w:rsidR="00C84E35">
        <w:t>E</w:t>
      </w:r>
      <w:r>
        <w:t xml:space="preserve">ach </w:t>
      </w:r>
      <w:r w:rsidR="00C84E35">
        <w:t xml:space="preserve">of the </w:t>
      </w:r>
      <w:r w:rsidR="009B2717">
        <w:t xml:space="preserve">above </w:t>
      </w:r>
      <w:r w:rsidR="00CF7868">
        <w:t>author</w:t>
      </w:r>
      <w:r w:rsidR="00C84E35">
        <w:t xml:space="preserve">s </w:t>
      </w:r>
      <w:r>
        <w:t xml:space="preserve">covers the </w:t>
      </w:r>
      <w:r w:rsidR="00CF7868">
        <w:t xml:space="preserve">narrative </w:t>
      </w:r>
      <w:r>
        <w:t>“what”</w:t>
      </w:r>
      <w:r w:rsidR="00B81173">
        <w:t xml:space="preserve">, and some </w:t>
      </w:r>
      <w:r w:rsidR="00CF7868">
        <w:t xml:space="preserve">speculate </w:t>
      </w:r>
      <w:r w:rsidR="00B81173">
        <w:t xml:space="preserve">on “why”. However, none of them adequately treats the “how”: how did corporate </w:t>
      </w:r>
      <w:r w:rsidR="00D46965">
        <w:t xml:space="preserve">changes </w:t>
      </w:r>
      <w:r w:rsidR="00B81173">
        <w:t xml:space="preserve">affect the lives of the people caught up in the process, and what should be the appropriate civic </w:t>
      </w:r>
      <w:r w:rsidR="00D46965">
        <w:t>response to those actions</w:t>
      </w:r>
      <w:r w:rsidR="00B81173">
        <w:t>?</w:t>
      </w:r>
      <w:r w:rsidR="00D46965">
        <w:t xml:space="preserve"> </w:t>
      </w:r>
      <w:r w:rsidR="00C04188">
        <w:t xml:space="preserve">Each appears to feel that the answer to that question is unimportant; corporations develop, they seem to suggest, </w:t>
      </w:r>
      <w:r w:rsidR="000028DC">
        <w:t>in whatever manner they see fit</w:t>
      </w:r>
      <w:r w:rsidR="00C04188">
        <w:t>, and any attempt to influence it is an unhealthy inte</w:t>
      </w:r>
      <w:r w:rsidR="00D63FA7">
        <w:t xml:space="preserve">rference </w:t>
      </w:r>
      <w:r w:rsidR="00D63FA7">
        <w:lastRenderedPageBreak/>
        <w:t>with a natural process – even the question is out of bounds.</w:t>
      </w:r>
      <w:r w:rsidR="00C04188">
        <w:t xml:space="preserve"> </w:t>
      </w:r>
      <w:r w:rsidR="0032778E">
        <w:t>T</w:t>
      </w:r>
      <w:r w:rsidR="00B36C7F">
        <w:t>his is the canonical definition of laissez-faire economics.</w:t>
      </w:r>
    </w:p>
    <w:p w:rsidR="005D6A3E" w:rsidRDefault="00FD269B" w:rsidP="009E7E1A">
      <w:pPr>
        <w:spacing w:line="480" w:lineRule="auto"/>
      </w:pPr>
      <w:r>
        <w:tab/>
      </w:r>
      <w:r w:rsidR="00415084">
        <w:t>I</w:t>
      </w:r>
      <w:r w:rsidR="00A46E50">
        <w:t>t is clear from the historical record that employers felt free to expand as quickly as possible</w:t>
      </w:r>
      <w:r w:rsidR="00FE4F96">
        <w:t xml:space="preserve">, spending </w:t>
      </w:r>
      <w:r w:rsidR="00A46E50">
        <w:t xml:space="preserve">little time concerned with the results of that expansion. It is also clear that, under no community obligation to buffer the citizens from the results of cyclical contraction, </w:t>
      </w:r>
      <w:r w:rsidR="00587E84">
        <w:t xml:space="preserve">corporations caused serious </w:t>
      </w:r>
      <w:r w:rsidR="005E6A99">
        <w:t xml:space="preserve">community damage </w:t>
      </w:r>
      <w:r w:rsidR="00587E84">
        <w:t>when pink slips were handed out.</w:t>
      </w:r>
      <w:r w:rsidR="005D1C49">
        <w:t xml:space="preserve"> </w:t>
      </w:r>
      <w:r w:rsidR="00587E84">
        <w:t>These facts suggest</w:t>
      </w:r>
      <w:r w:rsidR="005D1C49">
        <w:t xml:space="preserve"> that some regulations directing growth in positive directions and insulating individuals from the devastating effects of job loss might </w:t>
      </w:r>
      <w:r w:rsidR="00023F52">
        <w:t xml:space="preserve">continue to </w:t>
      </w:r>
      <w:r w:rsidR="005D1C49">
        <w:t>be desirable.</w:t>
      </w:r>
    </w:p>
    <w:p w:rsidR="00F442CB" w:rsidRDefault="007F710E" w:rsidP="009E7E1A">
      <w:pPr>
        <w:spacing w:line="480" w:lineRule="auto"/>
      </w:pPr>
      <w:r>
        <w:tab/>
      </w:r>
      <w:r w:rsidR="00FA642C">
        <w:t xml:space="preserve">The remaining authors are interested in more community-minded </w:t>
      </w:r>
      <w:r w:rsidR="0070686F">
        <w:t>subjects</w:t>
      </w:r>
      <w:r w:rsidR="00FA642C">
        <w:t xml:space="preserve">. </w:t>
      </w:r>
      <w:proofErr w:type="spellStart"/>
      <w:r>
        <w:t>Portney</w:t>
      </w:r>
      <w:proofErr w:type="spellEnd"/>
      <w:r>
        <w:t xml:space="preserve"> catalogues the role of citizen involvement in sustainable cities programs across the country. His treatment is introductory: he explores attempts to arrive at a common definition of sustainability</w:t>
      </w:r>
      <w:r w:rsidR="00A11E25">
        <w:t>;</w:t>
      </w:r>
      <w:r>
        <w:t xml:space="preserve"> </w:t>
      </w:r>
      <w:r w:rsidR="00A11E25">
        <w:t xml:space="preserve">he </w:t>
      </w:r>
      <w:r>
        <w:t>analyzes the differing components contained within sustainable cities initiatives</w:t>
      </w:r>
      <w:r w:rsidR="00A11E25">
        <w:t>;</w:t>
      </w:r>
      <w:r>
        <w:t xml:space="preserve"> </w:t>
      </w:r>
      <w:r w:rsidR="00A11E25">
        <w:t xml:space="preserve">he </w:t>
      </w:r>
      <w:r>
        <w:t>evaluates different types of civic engagement</w:t>
      </w:r>
      <w:r w:rsidR="00D44580">
        <w:t xml:space="preserve"> and </w:t>
      </w:r>
      <w:r w:rsidR="00A11E25">
        <w:t>compares the varying social and political rationales behind the programs and the level of involvement (ranging from communitarian to technocratic)</w:t>
      </w:r>
      <w:r w:rsidR="00880E67">
        <w:t xml:space="preserve"> (</w:t>
      </w:r>
      <w:proofErr w:type="spellStart"/>
      <w:r w:rsidR="00880E67">
        <w:t>Portney</w:t>
      </w:r>
      <w:proofErr w:type="spellEnd"/>
      <w:r w:rsidR="00880E67">
        <w:t>, 580 – 583)</w:t>
      </w:r>
      <w:r w:rsidR="00A11E25">
        <w:t xml:space="preserve">. </w:t>
      </w:r>
      <w:r w:rsidR="00372DEC">
        <w:t>H</w:t>
      </w:r>
      <w:r w:rsidR="00FE1DDF">
        <w:t xml:space="preserve">e </w:t>
      </w:r>
      <w:r w:rsidR="00F442CB">
        <w:t xml:space="preserve">makes explicit not only the need for programs that ensure the livability of regions in which economic growth is happening, but details many of the possible reasons for such programs succeeding or failing. </w:t>
      </w:r>
    </w:p>
    <w:p w:rsidR="00A439C1" w:rsidRDefault="00A439C1" w:rsidP="009E7E1A">
      <w:pPr>
        <w:spacing w:line="480" w:lineRule="auto"/>
      </w:pPr>
      <w:r>
        <w:tab/>
      </w:r>
      <w:proofErr w:type="spellStart"/>
      <w:r w:rsidR="00FA0C8A">
        <w:t>Bodley</w:t>
      </w:r>
      <w:proofErr w:type="spellEnd"/>
      <w:r w:rsidR="00FA0C8A">
        <w:t xml:space="preserve"> uses quantitative data to explore the questions of power concentration and social inequity caused by urbanization. </w:t>
      </w:r>
      <w:r w:rsidR="00F832CC">
        <w:t>By u</w:t>
      </w:r>
      <w:r w:rsidR="006132FA">
        <w:t xml:space="preserve">sing various metrics (household income, debtor/creditor ratios, property ownership, and bank balances) and organizing them by community size, he shows definitively that all the economic metrics increase with the urban concentration. </w:t>
      </w:r>
      <w:r w:rsidR="0028555C">
        <w:t>Troubling</w:t>
      </w:r>
      <w:r w:rsidR="00543AD7">
        <w:t>ly</w:t>
      </w:r>
      <w:r w:rsidR="0028555C">
        <w:t>, he also shows that the size of business</w:t>
      </w:r>
      <w:r w:rsidR="00CD15B7">
        <w:t>es</w:t>
      </w:r>
      <w:r w:rsidR="005223DB">
        <w:t xml:space="preserve"> goes up</w:t>
      </w:r>
      <w:r w:rsidR="0028555C">
        <w:t xml:space="preserve"> but the count goes down</w:t>
      </w:r>
      <w:r w:rsidR="00CD15B7">
        <w:t xml:space="preserve"> as the urban center size increases</w:t>
      </w:r>
      <w:r w:rsidR="0028555C">
        <w:t xml:space="preserve">, </w:t>
      </w:r>
      <w:r w:rsidR="009E658B">
        <w:t xml:space="preserve">indicating that, in cities, </w:t>
      </w:r>
      <w:r w:rsidR="0028555C">
        <w:t xml:space="preserve">fewer individuals </w:t>
      </w:r>
      <w:r w:rsidR="00542D04">
        <w:t xml:space="preserve">control </w:t>
      </w:r>
      <w:r w:rsidR="0028555C">
        <w:t>a much larger slice of the available wealth</w:t>
      </w:r>
      <w:r w:rsidR="00021A47">
        <w:t xml:space="preserve"> (</w:t>
      </w:r>
      <w:proofErr w:type="spellStart"/>
      <w:r w:rsidR="00021A47">
        <w:t>Bodley</w:t>
      </w:r>
      <w:proofErr w:type="spellEnd"/>
      <w:r w:rsidR="00021A47">
        <w:t>, 378)</w:t>
      </w:r>
      <w:r w:rsidR="0028555C">
        <w:t>.</w:t>
      </w:r>
      <w:r w:rsidR="00B0731A">
        <w:t xml:space="preserve"> </w:t>
      </w:r>
      <w:proofErr w:type="spellStart"/>
      <w:r w:rsidR="00B0731A">
        <w:t>Bodley’s</w:t>
      </w:r>
      <w:proofErr w:type="spellEnd"/>
      <w:r w:rsidR="00B0731A">
        <w:t xml:space="preserve"> goal </w:t>
      </w:r>
      <w:r w:rsidR="00924BE0">
        <w:t xml:space="preserve">is </w:t>
      </w:r>
      <w:r w:rsidR="00B0731A">
        <w:t xml:space="preserve">to </w:t>
      </w:r>
      <w:r w:rsidR="000A3F78">
        <w:t xml:space="preserve">gather data to </w:t>
      </w:r>
      <w:r w:rsidR="008C769D">
        <w:t xml:space="preserve">support the power-elite hypothesis. </w:t>
      </w:r>
      <w:r w:rsidR="004D2C51">
        <w:t xml:space="preserve">In the process, he also </w:t>
      </w:r>
      <w:r w:rsidR="00B276DC">
        <w:t xml:space="preserve">reveals </w:t>
      </w:r>
      <w:r w:rsidR="008C769D">
        <w:t xml:space="preserve">the consequences </w:t>
      </w:r>
      <w:r w:rsidR="008C769D">
        <w:lastRenderedPageBreak/>
        <w:t xml:space="preserve">of increasing </w:t>
      </w:r>
      <w:r w:rsidR="00A32BB9">
        <w:t>urbanization</w:t>
      </w:r>
      <w:r w:rsidR="00550220">
        <w:t xml:space="preserve"> for individuals</w:t>
      </w:r>
      <w:r w:rsidR="008C769D">
        <w:t xml:space="preserve">. Wealth, Sell’s “oxygen to fire”, is more pronounced in urban areas, in the hands of the few. </w:t>
      </w:r>
      <w:r w:rsidR="00980449">
        <w:t xml:space="preserve">It seems unlikely that this would have any effect </w:t>
      </w:r>
      <w:r w:rsidR="008C769D">
        <w:t xml:space="preserve">but a de-democratizing </w:t>
      </w:r>
      <w:r w:rsidR="00CE3FB8">
        <w:t xml:space="preserve">one </w:t>
      </w:r>
      <w:r w:rsidR="008C769D">
        <w:t xml:space="preserve">on </w:t>
      </w:r>
      <w:r w:rsidR="00CE3FB8">
        <w:t xml:space="preserve">a </w:t>
      </w:r>
      <w:r w:rsidR="008C769D">
        <w:t>region.</w:t>
      </w:r>
    </w:p>
    <w:p w:rsidR="002557E8" w:rsidRDefault="008F469D" w:rsidP="002557E8">
      <w:pPr>
        <w:spacing w:line="480" w:lineRule="auto"/>
      </w:pPr>
      <w:r>
        <w:tab/>
        <w:t xml:space="preserve">Both </w:t>
      </w:r>
      <w:proofErr w:type="spellStart"/>
      <w:r>
        <w:t>Portney</w:t>
      </w:r>
      <w:proofErr w:type="spellEnd"/>
      <w:r>
        <w:t xml:space="preserve"> and </w:t>
      </w:r>
      <w:proofErr w:type="spellStart"/>
      <w:r>
        <w:t>Bodley</w:t>
      </w:r>
      <w:proofErr w:type="spellEnd"/>
      <w:r>
        <w:t xml:space="preserve">, through their choice of subject, choose to cast light on the concepts of </w:t>
      </w:r>
      <w:r w:rsidR="004D1062">
        <w:t xml:space="preserve">sustainability </w:t>
      </w:r>
      <w:r w:rsidR="0028361D">
        <w:t xml:space="preserve">and inequity. </w:t>
      </w:r>
      <w:r w:rsidR="00997E0E">
        <w:t>By a</w:t>
      </w:r>
      <w:r w:rsidR="00F66FA3">
        <w:t xml:space="preserve">cknowledging that individuals have much at stake, and much to lose, within a scaled-up urban community, each suggests that </w:t>
      </w:r>
      <w:r w:rsidR="006C0257">
        <w:t xml:space="preserve">the </w:t>
      </w:r>
      <w:r w:rsidR="00F66FA3">
        <w:t xml:space="preserve">issues are worthy of substantial </w:t>
      </w:r>
      <w:r w:rsidR="006C0257">
        <w:t xml:space="preserve">further </w:t>
      </w:r>
      <w:r w:rsidR="00F66FA3">
        <w:t>exploration.</w:t>
      </w:r>
      <w:r w:rsidR="00552303">
        <w:t xml:space="preserve"> They introduce, into the larger picture of important organizations doing influential things, the concept of </w:t>
      </w:r>
      <w:r w:rsidR="003F3661">
        <w:t xml:space="preserve">considering the needs </w:t>
      </w:r>
      <w:r w:rsidR="00552303">
        <w:t xml:space="preserve">and </w:t>
      </w:r>
      <w:r w:rsidR="003F3661">
        <w:t xml:space="preserve">dignifying the concerns </w:t>
      </w:r>
      <w:r w:rsidR="00974A9B">
        <w:t xml:space="preserve">of </w:t>
      </w:r>
      <w:r w:rsidR="00552303">
        <w:t xml:space="preserve">the rank-and-file who power the corporate machines. </w:t>
      </w:r>
    </w:p>
    <w:p w:rsidR="008C769D" w:rsidRDefault="002557E8" w:rsidP="002557E8">
      <w:pPr>
        <w:spacing w:line="480" w:lineRule="auto"/>
      </w:pPr>
      <w:r>
        <w:tab/>
      </w:r>
      <w:r w:rsidR="00286E71">
        <w:t>A</w:t>
      </w:r>
      <w:r w:rsidR="00E1105C">
        <w:t xml:space="preserve">ny legislature is capable of assembling a set of regulations that will destroy the ability of a business to operate. At the same time, </w:t>
      </w:r>
      <w:r w:rsidR="00265EB4">
        <w:t xml:space="preserve">hard historical lessons demonstrate that </w:t>
      </w:r>
      <w:r w:rsidR="00E1105C">
        <w:t>the sociopathic entity that is the corporation must be regulated, because it rarely pursues a course of action that will, in the long run, benefit communitie</w:t>
      </w:r>
      <w:r w:rsidR="00AC2502">
        <w:t xml:space="preserve">s and itself equally. </w:t>
      </w:r>
      <w:proofErr w:type="spellStart"/>
      <w:r w:rsidR="00F1318F">
        <w:t>Bodley’s</w:t>
      </w:r>
      <w:proofErr w:type="spellEnd"/>
      <w:r w:rsidR="00F1318F">
        <w:t xml:space="preserve"> work reinforces this view – the natural tendency, exposed by his research, of power to accumulate more power highlights the need for a sensible course of regulatory action that will protect the interests of the community.</w:t>
      </w:r>
      <w:r w:rsidR="003C0A14">
        <w:t xml:space="preserve"> Based on the evidence provided, it seems reasonable that </w:t>
      </w:r>
      <w:r>
        <w:t xml:space="preserve">existing sustainability and guided growth </w:t>
      </w:r>
      <w:r w:rsidR="00EF7378">
        <w:t xml:space="preserve">regulations are, if not necessarily </w:t>
      </w:r>
      <w:r>
        <w:t xml:space="preserve">inadequate, </w:t>
      </w:r>
      <w:r w:rsidR="00EF7378">
        <w:t>dated and crude. F</w:t>
      </w:r>
      <w:r>
        <w:t xml:space="preserve">urther </w:t>
      </w:r>
      <w:r w:rsidR="003C0A14">
        <w:t>gradual</w:t>
      </w:r>
      <w:r w:rsidR="00D46ECF">
        <w:t xml:space="preserve"> </w:t>
      </w:r>
      <w:r w:rsidR="003C0A14">
        <w:t xml:space="preserve">incremental, continuous regulations tailored for each community and </w:t>
      </w:r>
      <w:r w:rsidR="00D64BBE">
        <w:t xml:space="preserve">considerate of </w:t>
      </w:r>
      <w:r w:rsidR="003C0A14">
        <w:t xml:space="preserve">the needs of the corporation to continue operating </w:t>
      </w:r>
      <w:r w:rsidR="00E07869">
        <w:t>seem</w:t>
      </w:r>
      <w:r w:rsidR="003C0A14">
        <w:t xml:space="preserve">, by far, </w:t>
      </w:r>
      <w:r w:rsidR="00E07869">
        <w:t>the best solution.</w:t>
      </w:r>
    </w:p>
    <w:p w:rsidR="00E379E1" w:rsidRDefault="00E379E1" w:rsidP="009E7E1A">
      <w:pPr>
        <w:spacing w:line="480" w:lineRule="auto"/>
      </w:pPr>
      <w:r>
        <w:tab/>
      </w:r>
    </w:p>
    <w:p w:rsidR="00BD6A64" w:rsidRDefault="00BD6A64" w:rsidP="009E7E1A">
      <w:pPr>
        <w:spacing w:line="480" w:lineRule="auto"/>
      </w:pPr>
      <w:r>
        <w:t>Word</w:t>
      </w:r>
      <w:r w:rsidR="00C901D8">
        <w:t xml:space="preserve"> count:  </w:t>
      </w:r>
      <w:r w:rsidR="003F3168">
        <w:t>1200</w:t>
      </w:r>
    </w:p>
    <w:p w:rsidR="00494EA9" w:rsidRDefault="00494EA9" w:rsidP="009E7E1A">
      <w:pPr>
        <w:spacing w:line="480" w:lineRule="auto"/>
        <w:rPr>
          <w:b/>
        </w:rPr>
      </w:pPr>
      <w:r>
        <w:rPr>
          <w:b/>
        </w:rPr>
        <w:br w:type="page"/>
      </w:r>
    </w:p>
    <w:p w:rsidR="00DB138B" w:rsidRPr="0024175D" w:rsidRDefault="00703F85" w:rsidP="009E7E1A">
      <w:pPr>
        <w:pStyle w:val="ListParagraph"/>
        <w:spacing w:line="480" w:lineRule="auto"/>
        <w:rPr>
          <w:b/>
        </w:rPr>
      </w:pPr>
      <w:r w:rsidRPr="0024175D">
        <w:rPr>
          <w:b/>
        </w:rPr>
        <w:t>Works cited:</w:t>
      </w:r>
    </w:p>
    <w:p w:rsidR="005538D5" w:rsidRDefault="005538D5" w:rsidP="009E7E1A">
      <w:pPr>
        <w:pStyle w:val="ListParagraph"/>
        <w:spacing w:line="480" w:lineRule="auto"/>
      </w:pPr>
      <w:proofErr w:type="spellStart"/>
      <w:r>
        <w:t>Bodley</w:t>
      </w:r>
      <w:proofErr w:type="spellEnd"/>
      <w:r>
        <w:t xml:space="preserve">, John H. “Growth, Scale, and Power in Washington State.” </w:t>
      </w:r>
      <w:r>
        <w:rPr>
          <w:u w:val="single"/>
        </w:rPr>
        <w:t>Human Organization</w:t>
      </w:r>
      <w:r>
        <w:t xml:space="preserve"> 60.4. (2001): 367 – 379.</w:t>
      </w:r>
    </w:p>
    <w:p w:rsidR="005538D5" w:rsidRDefault="005538D5" w:rsidP="009E7E1A">
      <w:pPr>
        <w:pStyle w:val="ListParagraph"/>
        <w:spacing w:line="480" w:lineRule="auto"/>
      </w:pPr>
    </w:p>
    <w:p w:rsidR="005538D5" w:rsidRDefault="005538D5" w:rsidP="009E7E1A">
      <w:pPr>
        <w:pStyle w:val="ListParagraph"/>
        <w:spacing w:line="480" w:lineRule="auto"/>
      </w:pPr>
      <w:r>
        <w:t xml:space="preserve">Gray, Mia, </w:t>
      </w:r>
      <w:proofErr w:type="spellStart"/>
      <w:r>
        <w:t>Golob</w:t>
      </w:r>
      <w:proofErr w:type="spellEnd"/>
      <w:r>
        <w:t xml:space="preserve">, Elyse and </w:t>
      </w:r>
      <w:proofErr w:type="spellStart"/>
      <w:r>
        <w:t>Markusen</w:t>
      </w:r>
      <w:proofErr w:type="spellEnd"/>
      <w:r>
        <w:t xml:space="preserve">, Ann. “Big Firms, Long Arms, Wide Shoulders: The ‘Hub and Spoke’ Industrial District in the Seattle Region.” </w:t>
      </w:r>
      <w:r>
        <w:rPr>
          <w:u w:val="single"/>
        </w:rPr>
        <w:t>Regional Studies</w:t>
      </w:r>
      <w:r>
        <w:t>, 30.7 (1996): 651 – 666.</w:t>
      </w:r>
    </w:p>
    <w:p w:rsidR="00C2588C" w:rsidRDefault="00C2588C" w:rsidP="009E7E1A">
      <w:pPr>
        <w:pStyle w:val="ListParagraph"/>
        <w:spacing w:line="480" w:lineRule="auto"/>
      </w:pPr>
    </w:p>
    <w:p w:rsidR="00C2588C" w:rsidRDefault="00C2588C" w:rsidP="009E7E1A">
      <w:pPr>
        <w:pStyle w:val="ListParagraph"/>
        <w:spacing w:line="480" w:lineRule="auto"/>
      </w:pPr>
      <w:r>
        <w:t xml:space="preserve">Morrill, Richard and </w:t>
      </w:r>
      <w:proofErr w:type="spellStart"/>
      <w:r>
        <w:t>Sommers</w:t>
      </w:r>
      <w:proofErr w:type="spellEnd"/>
      <w:r>
        <w:t xml:space="preserve">, Paul. “Seattle as a digital city: unexpected or inevitable?” </w:t>
      </w:r>
      <w:r w:rsidRPr="00C2588C">
        <w:rPr>
          <w:u w:val="single"/>
        </w:rPr>
        <w:t>Canadian Journal of Regional Science</w:t>
      </w:r>
      <w:r>
        <w:t xml:space="preserve"> 28.2 (2005): 349 – 371.</w:t>
      </w:r>
    </w:p>
    <w:p w:rsidR="009544BF" w:rsidRDefault="009544BF" w:rsidP="009E7E1A">
      <w:pPr>
        <w:pStyle w:val="ListParagraph"/>
        <w:spacing w:line="480" w:lineRule="auto"/>
      </w:pPr>
    </w:p>
    <w:p w:rsidR="005538D5" w:rsidRDefault="005538D5" w:rsidP="009E7E1A">
      <w:pPr>
        <w:pStyle w:val="ListParagraph"/>
        <w:spacing w:line="480" w:lineRule="auto"/>
      </w:pPr>
      <w:proofErr w:type="spellStart"/>
      <w:r>
        <w:t>Portney</w:t>
      </w:r>
      <w:proofErr w:type="spellEnd"/>
      <w:r>
        <w:t xml:space="preserve">, Kent. “Civic Engagement and Sustainable Cities in the United States.” </w:t>
      </w:r>
      <w:r>
        <w:rPr>
          <w:u w:val="single"/>
        </w:rPr>
        <w:t>Public Administration Review</w:t>
      </w:r>
      <w:r>
        <w:t xml:space="preserve"> 65.5 (2005): 579 – 591.</w:t>
      </w:r>
    </w:p>
    <w:p w:rsidR="005538D5" w:rsidRDefault="005538D5" w:rsidP="009E7E1A">
      <w:pPr>
        <w:pStyle w:val="ListParagraph"/>
        <w:spacing w:line="480" w:lineRule="auto"/>
      </w:pPr>
    </w:p>
    <w:p w:rsidR="005538D5" w:rsidRDefault="005538D5" w:rsidP="009E7E1A">
      <w:pPr>
        <w:pStyle w:val="ListParagraph"/>
        <w:spacing w:line="480" w:lineRule="auto"/>
      </w:pPr>
      <w:r>
        <w:t xml:space="preserve">Sell, T.M. </w:t>
      </w:r>
      <w:r>
        <w:rPr>
          <w:u w:val="single"/>
        </w:rPr>
        <w:t>Wings of Power: Boeing and the Politics of Growth in the Northwest</w:t>
      </w:r>
      <w:r>
        <w:t>. Seattle: University of Washington Press, 2001.</w:t>
      </w:r>
    </w:p>
    <w:p w:rsidR="005538D5" w:rsidRDefault="005538D5" w:rsidP="009E7E1A">
      <w:pPr>
        <w:pStyle w:val="ListParagraph"/>
        <w:spacing w:line="480" w:lineRule="auto"/>
      </w:pPr>
    </w:p>
    <w:sectPr w:rsidR="005538D5" w:rsidSect="001B1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2DD5"/>
    <w:multiLevelType w:val="hybridMultilevel"/>
    <w:tmpl w:val="DFBA8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814B8"/>
    <w:multiLevelType w:val="hybridMultilevel"/>
    <w:tmpl w:val="DDAA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D38"/>
    <w:rsid w:val="000028DC"/>
    <w:rsid w:val="00004C28"/>
    <w:rsid w:val="00005AE2"/>
    <w:rsid w:val="0000652E"/>
    <w:rsid w:val="00010DD8"/>
    <w:rsid w:val="0001671D"/>
    <w:rsid w:val="00021A47"/>
    <w:rsid w:val="00023F52"/>
    <w:rsid w:val="0003091F"/>
    <w:rsid w:val="00031CDD"/>
    <w:rsid w:val="00032B9B"/>
    <w:rsid w:val="00033E87"/>
    <w:rsid w:val="000453CC"/>
    <w:rsid w:val="00056CB5"/>
    <w:rsid w:val="00065120"/>
    <w:rsid w:val="00070209"/>
    <w:rsid w:val="00077F04"/>
    <w:rsid w:val="00085CAF"/>
    <w:rsid w:val="0008666C"/>
    <w:rsid w:val="00087015"/>
    <w:rsid w:val="00092539"/>
    <w:rsid w:val="00092C3F"/>
    <w:rsid w:val="000933B5"/>
    <w:rsid w:val="00096E51"/>
    <w:rsid w:val="000A2319"/>
    <w:rsid w:val="000A3F78"/>
    <w:rsid w:val="000A4F7B"/>
    <w:rsid w:val="000B0354"/>
    <w:rsid w:val="000B041A"/>
    <w:rsid w:val="000B7B8A"/>
    <w:rsid w:val="000B7C1F"/>
    <w:rsid w:val="000D40AB"/>
    <w:rsid w:val="000E1946"/>
    <w:rsid w:val="000E7DD8"/>
    <w:rsid w:val="000F62EF"/>
    <w:rsid w:val="00103AD7"/>
    <w:rsid w:val="001066FF"/>
    <w:rsid w:val="00120986"/>
    <w:rsid w:val="001448E6"/>
    <w:rsid w:val="001513BD"/>
    <w:rsid w:val="001616DF"/>
    <w:rsid w:val="001A5AC9"/>
    <w:rsid w:val="001B1AAF"/>
    <w:rsid w:val="001B1E73"/>
    <w:rsid w:val="001C42A4"/>
    <w:rsid w:val="001C440A"/>
    <w:rsid w:val="001E4D70"/>
    <w:rsid w:val="001E7637"/>
    <w:rsid w:val="001F7C29"/>
    <w:rsid w:val="00210B95"/>
    <w:rsid w:val="00211936"/>
    <w:rsid w:val="0022180F"/>
    <w:rsid w:val="0024175D"/>
    <w:rsid w:val="002472EB"/>
    <w:rsid w:val="00251056"/>
    <w:rsid w:val="002557E8"/>
    <w:rsid w:val="00265EB4"/>
    <w:rsid w:val="0028361D"/>
    <w:rsid w:val="00285464"/>
    <w:rsid w:val="0028555C"/>
    <w:rsid w:val="00286E71"/>
    <w:rsid w:val="002977DE"/>
    <w:rsid w:val="002A3423"/>
    <w:rsid w:val="002A7111"/>
    <w:rsid w:val="002C1D79"/>
    <w:rsid w:val="002D14DD"/>
    <w:rsid w:val="002F540D"/>
    <w:rsid w:val="0030405E"/>
    <w:rsid w:val="00304FFC"/>
    <w:rsid w:val="003064DE"/>
    <w:rsid w:val="00314FD2"/>
    <w:rsid w:val="003159EE"/>
    <w:rsid w:val="003168CF"/>
    <w:rsid w:val="003211F0"/>
    <w:rsid w:val="0032778E"/>
    <w:rsid w:val="003432E9"/>
    <w:rsid w:val="00350109"/>
    <w:rsid w:val="00370374"/>
    <w:rsid w:val="00372DEC"/>
    <w:rsid w:val="00384655"/>
    <w:rsid w:val="00395C95"/>
    <w:rsid w:val="003A21E6"/>
    <w:rsid w:val="003A3423"/>
    <w:rsid w:val="003A6463"/>
    <w:rsid w:val="003B7EFD"/>
    <w:rsid w:val="003C0A14"/>
    <w:rsid w:val="003C1806"/>
    <w:rsid w:val="003C2AE8"/>
    <w:rsid w:val="003C7472"/>
    <w:rsid w:val="003E1FCC"/>
    <w:rsid w:val="003E4F1A"/>
    <w:rsid w:val="003E77C5"/>
    <w:rsid w:val="003F22F6"/>
    <w:rsid w:val="003F3168"/>
    <w:rsid w:val="003F3661"/>
    <w:rsid w:val="003F7511"/>
    <w:rsid w:val="00401CA4"/>
    <w:rsid w:val="00415084"/>
    <w:rsid w:val="004163CA"/>
    <w:rsid w:val="004334A1"/>
    <w:rsid w:val="00457365"/>
    <w:rsid w:val="00457D64"/>
    <w:rsid w:val="00464388"/>
    <w:rsid w:val="00472D4C"/>
    <w:rsid w:val="00474A77"/>
    <w:rsid w:val="004757C3"/>
    <w:rsid w:val="004763DD"/>
    <w:rsid w:val="00482E37"/>
    <w:rsid w:val="00482F98"/>
    <w:rsid w:val="00494EA9"/>
    <w:rsid w:val="00496983"/>
    <w:rsid w:val="00497631"/>
    <w:rsid w:val="004B2434"/>
    <w:rsid w:val="004C7B22"/>
    <w:rsid w:val="004D1062"/>
    <w:rsid w:val="004D2C51"/>
    <w:rsid w:val="004F0B9A"/>
    <w:rsid w:val="004F208A"/>
    <w:rsid w:val="004F4327"/>
    <w:rsid w:val="00500691"/>
    <w:rsid w:val="005223DB"/>
    <w:rsid w:val="00522E71"/>
    <w:rsid w:val="005249E3"/>
    <w:rsid w:val="00537CD3"/>
    <w:rsid w:val="005403AD"/>
    <w:rsid w:val="00541424"/>
    <w:rsid w:val="00542688"/>
    <w:rsid w:val="00542D04"/>
    <w:rsid w:val="00543910"/>
    <w:rsid w:val="00543AD7"/>
    <w:rsid w:val="00544116"/>
    <w:rsid w:val="00550220"/>
    <w:rsid w:val="00552303"/>
    <w:rsid w:val="005538D5"/>
    <w:rsid w:val="00554D38"/>
    <w:rsid w:val="00560658"/>
    <w:rsid w:val="00563D59"/>
    <w:rsid w:val="0057309D"/>
    <w:rsid w:val="00587E84"/>
    <w:rsid w:val="00590CA8"/>
    <w:rsid w:val="00595A44"/>
    <w:rsid w:val="0059716E"/>
    <w:rsid w:val="005A2841"/>
    <w:rsid w:val="005B327C"/>
    <w:rsid w:val="005B3CAD"/>
    <w:rsid w:val="005C2C9E"/>
    <w:rsid w:val="005C2E60"/>
    <w:rsid w:val="005C78E1"/>
    <w:rsid w:val="005D1C49"/>
    <w:rsid w:val="005D6684"/>
    <w:rsid w:val="005D6A3E"/>
    <w:rsid w:val="005E3098"/>
    <w:rsid w:val="005E4CEE"/>
    <w:rsid w:val="005E4E08"/>
    <w:rsid w:val="005E6A99"/>
    <w:rsid w:val="005F006D"/>
    <w:rsid w:val="006132FA"/>
    <w:rsid w:val="00617DC8"/>
    <w:rsid w:val="00620ADD"/>
    <w:rsid w:val="00623ED5"/>
    <w:rsid w:val="006240EA"/>
    <w:rsid w:val="00625135"/>
    <w:rsid w:val="0062636A"/>
    <w:rsid w:val="00645CA7"/>
    <w:rsid w:val="006523AE"/>
    <w:rsid w:val="00652E0D"/>
    <w:rsid w:val="00667191"/>
    <w:rsid w:val="00675B3B"/>
    <w:rsid w:val="00697FC9"/>
    <w:rsid w:val="006A49E7"/>
    <w:rsid w:val="006B3D8C"/>
    <w:rsid w:val="006C0257"/>
    <w:rsid w:val="006C2634"/>
    <w:rsid w:val="006F1DA4"/>
    <w:rsid w:val="00701327"/>
    <w:rsid w:val="00703F85"/>
    <w:rsid w:val="0070686F"/>
    <w:rsid w:val="00711F45"/>
    <w:rsid w:val="0071350B"/>
    <w:rsid w:val="007144DA"/>
    <w:rsid w:val="00727FD1"/>
    <w:rsid w:val="00730A85"/>
    <w:rsid w:val="0073240C"/>
    <w:rsid w:val="00737C51"/>
    <w:rsid w:val="0074057E"/>
    <w:rsid w:val="007413DB"/>
    <w:rsid w:val="007465AE"/>
    <w:rsid w:val="00764C00"/>
    <w:rsid w:val="00770AF4"/>
    <w:rsid w:val="00780B43"/>
    <w:rsid w:val="0079321C"/>
    <w:rsid w:val="007A4F3A"/>
    <w:rsid w:val="007C0FF0"/>
    <w:rsid w:val="007C149C"/>
    <w:rsid w:val="007D52DD"/>
    <w:rsid w:val="007E45C9"/>
    <w:rsid w:val="007F1C1D"/>
    <w:rsid w:val="007F208C"/>
    <w:rsid w:val="007F40F7"/>
    <w:rsid w:val="007F6330"/>
    <w:rsid w:val="007F710E"/>
    <w:rsid w:val="0080023C"/>
    <w:rsid w:val="008002BF"/>
    <w:rsid w:val="0082119E"/>
    <w:rsid w:val="0083616C"/>
    <w:rsid w:val="008362E4"/>
    <w:rsid w:val="00843E05"/>
    <w:rsid w:val="0085203F"/>
    <w:rsid w:val="008547C6"/>
    <w:rsid w:val="00880E67"/>
    <w:rsid w:val="00881BCC"/>
    <w:rsid w:val="008A77C1"/>
    <w:rsid w:val="008B068F"/>
    <w:rsid w:val="008B2AD6"/>
    <w:rsid w:val="008C15D9"/>
    <w:rsid w:val="008C769D"/>
    <w:rsid w:val="008D50DD"/>
    <w:rsid w:val="008F0FAE"/>
    <w:rsid w:val="008F469D"/>
    <w:rsid w:val="0090539E"/>
    <w:rsid w:val="00911200"/>
    <w:rsid w:val="00916B9C"/>
    <w:rsid w:val="00924BE0"/>
    <w:rsid w:val="00924E79"/>
    <w:rsid w:val="00931849"/>
    <w:rsid w:val="009320CC"/>
    <w:rsid w:val="00935695"/>
    <w:rsid w:val="00945C2C"/>
    <w:rsid w:val="0094625E"/>
    <w:rsid w:val="009544BF"/>
    <w:rsid w:val="00957E5E"/>
    <w:rsid w:val="00973280"/>
    <w:rsid w:val="00973332"/>
    <w:rsid w:val="00974A9B"/>
    <w:rsid w:val="00976BC3"/>
    <w:rsid w:val="00980449"/>
    <w:rsid w:val="009928EA"/>
    <w:rsid w:val="00997E0E"/>
    <w:rsid w:val="009A1A4E"/>
    <w:rsid w:val="009A270E"/>
    <w:rsid w:val="009A7212"/>
    <w:rsid w:val="009B2717"/>
    <w:rsid w:val="009D3339"/>
    <w:rsid w:val="009D3804"/>
    <w:rsid w:val="009D4B3B"/>
    <w:rsid w:val="009D6A99"/>
    <w:rsid w:val="009E658B"/>
    <w:rsid w:val="009E7E1A"/>
    <w:rsid w:val="009E7FF0"/>
    <w:rsid w:val="009F0D34"/>
    <w:rsid w:val="009F0D81"/>
    <w:rsid w:val="009F2F61"/>
    <w:rsid w:val="00A03A15"/>
    <w:rsid w:val="00A066ED"/>
    <w:rsid w:val="00A0677C"/>
    <w:rsid w:val="00A11E25"/>
    <w:rsid w:val="00A32BB9"/>
    <w:rsid w:val="00A34C92"/>
    <w:rsid w:val="00A367E1"/>
    <w:rsid w:val="00A439C1"/>
    <w:rsid w:val="00A46E50"/>
    <w:rsid w:val="00A53983"/>
    <w:rsid w:val="00A7306C"/>
    <w:rsid w:val="00A73842"/>
    <w:rsid w:val="00A73CAF"/>
    <w:rsid w:val="00A743DC"/>
    <w:rsid w:val="00A80B8C"/>
    <w:rsid w:val="00A977D4"/>
    <w:rsid w:val="00AA01DA"/>
    <w:rsid w:val="00AA0B97"/>
    <w:rsid w:val="00AA0BF8"/>
    <w:rsid w:val="00AA381E"/>
    <w:rsid w:val="00AC2502"/>
    <w:rsid w:val="00AC633B"/>
    <w:rsid w:val="00AD0169"/>
    <w:rsid w:val="00AD2722"/>
    <w:rsid w:val="00AD2EB3"/>
    <w:rsid w:val="00AF3F1E"/>
    <w:rsid w:val="00AF57BF"/>
    <w:rsid w:val="00B0090B"/>
    <w:rsid w:val="00B0402B"/>
    <w:rsid w:val="00B0731A"/>
    <w:rsid w:val="00B12C1D"/>
    <w:rsid w:val="00B25528"/>
    <w:rsid w:val="00B276DC"/>
    <w:rsid w:val="00B27E00"/>
    <w:rsid w:val="00B31DE7"/>
    <w:rsid w:val="00B36C7F"/>
    <w:rsid w:val="00B43E96"/>
    <w:rsid w:val="00B5027A"/>
    <w:rsid w:val="00B66390"/>
    <w:rsid w:val="00B71980"/>
    <w:rsid w:val="00B74B93"/>
    <w:rsid w:val="00B80A76"/>
    <w:rsid w:val="00B81173"/>
    <w:rsid w:val="00BA3CC6"/>
    <w:rsid w:val="00BA5AA1"/>
    <w:rsid w:val="00BB48EA"/>
    <w:rsid w:val="00BB76C1"/>
    <w:rsid w:val="00BC1EF8"/>
    <w:rsid w:val="00BD27AA"/>
    <w:rsid w:val="00BD6A64"/>
    <w:rsid w:val="00BE283A"/>
    <w:rsid w:val="00BE41F3"/>
    <w:rsid w:val="00BE5424"/>
    <w:rsid w:val="00BE6791"/>
    <w:rsid w:val="00C01172"/>
    <w:rsid w:val="00C04188"/>
    <w:rsid w:val="00C216AF"/>
    <w:rsid w:val="00C223C6"/>
    <w:rsid w:val="00C24DDC"/>
    <w:rsid w:val="00C25120"/>
    <w:rsid w:val="00C2588C"/>
    <w:rsid w:val="00C500EE"/>
    <w:rsid w:val="00C55BA5"/>
    <w:rsid w:val="00C5601E"/>
    <w:rsid w:val="00C753C9"/>
    <w:rsid w:val="00C75DA3"/>
    <w:rsid w:val="00C84E35"/>
    <w:rsid w:val="00C901D8"/>
    <w:rsid w:val="00CB518C"/>
    <w:rsid w:val="00CB7CC9"/>
    <w:rsid w:val="00CC7EF9"/>
    <w:rsid w:val="00CD15B7"/>
    <w:rsid w:val="00CD5662"/>
    <w:rsid w:val="00CD6BF6"/>
    <w:rsid w:val="00CE3FB8"/>
    <w:rsid w:val="00CE45AA"/>
    <w:rsid w:val="00CF1647"/>
    <w:rsid w:val="00CF36DE"/>
    <w:rsid w:val="00CF3751"/>
    <w:rsid w:val="00CF7868"/>
    <w:rsid w:val="00D05E9D"/>
    <w:rsid w:val="00D115FB"/>
    <w:rsid w:val="00D12D0F"/>
    <w:rsid w:val="00D40234"/>
    <w:rsid w:val="00D409CE"/>
    <w:rsid w:val="00D44580"/>
    <w:rsid w:val="00D445A1"/>
    <w:rsid w:val="00D46965"/>
    <w:rsid w:val="00D46ECF"/>
    <w:rsid w:val="00D56A4D"/>
    <w:rsid w:val="00D570B4"/>
    <w:rsid w:val="00D61746"/>
    <w:rsid w:val="00D62AA0"/>
    <w:rsid w:val="00D63FA7"/>
    <w:rsid w:val="00D64BBE"/>
    <w:rsid w:val="00D673D6"/>
    <w:rsid w:val="00D700EA"/>
    <w:rsid w:val="00D72373"/>
    <w:rsid w:val="00D73710"/>
    <w:rsid w:val="00D7434E"/>
    <w:rsid w:val="00D75CCD"/>
    <w:rsid w:val="00D821C3"/>
    <w:rsid w:val="00D8341F"/>
    <w:rsid w:val="00D8506F"/>
    <w:rsid w:val="00D92120"/>
    <w:rsid w:val="00D92B84"/>
    <w:rsid w:val="00D931BC"/>
    <w:rsid w:val="00D93EB7"/>
    <w:rsid w:val="00D96C3E"/>
    <w:rsid w:val="00DA7ECE"/>
    <w:rsid w:val="00DB138B"/>
    <w:rsid w:val="00DB4DDA"/>
    <w:rsid w:val="00DC6F2B"/>
    <w:rsid w:val="00DC710D"/>
    <w:rsid w:val="00DD704C"/>
    <w:rsid w:val="00DE310F"/>
    <w:rsid w:val="00DF20F8"/>
    <w:rsid w:val="00DF5633"/>
    <w:rsid w:val="00E07869"/>
    <w:rsid w:val="00E1105C"/>
    <w:rsid w:val="00E118E3"/>
    <w:rsid w:val="00E20C77"/>
    <w:rsid w:val="00E25F29"/>
    <w:rsid w:val="00E34848"/>
    <w:rsid w:val="00E34E35"/>
    <w:rsid w:val="00E379E1"/>
    <w:rsid w:val="00E42EB3"/>
    <w:rsid w:val="00E45BA7"/>
    <w:rsid w:val="00E4638A"/>
    <w:rsid w:val="00E61916"/>
    <w:rsid w:val="00E65012"/>
    <w:rsid w:val="00E92FDB"/>
    <w:rsid w:val="00EA0277"/>
    <w:rsid w:val="00EA1647"/>
    <w:rsid w:val="00EA27CC"/>
    <w:rsid w:val="00EB2578"/>
    <w:rsid w:val="00EC4DBF"/>
    <w:rsid w:val="00ED40D8"/>
    <w:rsid w:val="00ED565D"/>
    <w:rsid w:val="00ED635F"/>
    <w:rsid w:val="00EE2EE6"/>
    <w:rsid w:val="00EF36F5"/>
    <w:rsid w:val="00EF7378"/>
    <w:rsid w:val="00F02938"/>
    <w:rsid w:val="00F1318F"/>
    <w:rsid w:val="00F17FF5"/>
    <w:rsid w:val="00F442CB"/>
    <w:rsid w:val="00F5017E"/>
    <w:rsid w:val="00F5484B"/>
    <w:rsid w:val="00F57F15"/>
    <w:rsid w:val="00F66FA3"/>
    <w:rsid w:val="00F76A58"/>
    <w:rsid w:val="00F80B56"/>
    <w:rsid w:val="00F832A7"/>
    <w:rsid w:val="00F832CC"/>
    <w:rsid w:val="00F83FC8"/>
    <w:rsid w:val="00F851F4"/>
    <w:rsid w:val="00F93F7F"/>
    <w:rsid w:val="00F97D5C"/>
    <w:rsid w:val="00FA0C8A"/>
    <w:rsid w:val="00FA3FAB"/>
    <w:rsid w:val="00FA4E04"/>
    <w:rsid w:val="00FA642C"/>
    <w:rsid w:val="00FB62AC"/>
    <w:rsid w:val="00FC2139"/>
    <w:rsid w:val="00FC452E"/>
    <w:rsid w:val="00FC78A9"/>
    <w:rsid w:val="00FC7FA9"/>
    <w:rsid w:val="00FD24A0"/>
    <w:rsid w:val="00FD269B"/>
    <w:rsid w:val="00FE1DDF"/>
    <w:rsid w:val="00FE4F96"/>
    <w:rsid w:val="00FE6D6E"/>
    <w:rsid w:val="00FF1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38"/>
    <w:pPr>
      <w:ind w:left="720"/>
      <w:contextualSpacing/>
    </w:pPr>
  </w:style>
  <w:style w:type="character" w:styleId="Hyperlink">
    <w:name w:val="Hyperlink"/>
    <w:basedOn w:val="DefaultParagraphFont"/>
    <w:uiPriority w:val="99"/>
    <w:unhideWhenUsed/>
    <w:rsid w:val="0054391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1AC6B-0825-4D92-8A98-4A73A846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2</cp:revision>
  <dcterms:created xsi:type="dcterms:W3CDTF">2007-08-15T06:31:00Z</dcterms:created>
  <dcterms:modified xsi:type="dcterms:W3CDTF">2007-08-15T06:31:00Z</dcterms:modified>
</cp:coreProperties>
</file>