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Azure Sentinel SIEM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27,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Implementation Guide provides comprehensive deployment procedures for the Azure Sentinel SIEM solution. The guide covers Log Analytics workspace provisioning, Sentinel enablement, data connector configuration, analytics rules deployment, and SOAR playbook implementation using Infrastructure as Code (IaC) automation.</w:t>
      </w:r>
    </w:p>
    <w:p>
      <w:pPr>
        <w:pStyle w:val="Heading2"/>
        <w:spacing w:before="240" w:after="120"/>
        <w:ind w:left="0"/>
      </w:pPr>
      <w:r>
        <w:t>1.1 Document Purpose</w:t>
      </w:r>
    </w:p>
    <w:p>
      <w:r>
        <w:rPr>
          <w:rFonts w:ascii="Calibri" w:hAnsi="Calibri"/>
          <w:sz w:val="24"/>
        </w:rPr>
        <w:t>This document serves as the primary technical reference for the implementation team, providing step-by-step procedures for deploying the SIEM/SOAR solution on Microsoft Azure. All commands and procedures have been validated against target Azure environments.</w:t>
      </w:r>
    </w:p>
    <w:p>
      <w:pPr>
        <w:pStyle w:val="Heading2"/>
        <w:spacing w:before="240" w:after="120"/>
        <w:ind w:left="0"/>
      </w:pPr>
      <w:r>
        <w:t>1.2 Implementation Approach</w:t>
      </w:r>
    </w:p>
    <w:p>
      <w:r>
        <w:rPr>
          <w:rFonts w:ascii="Calibri" w:hAnsi="Calibri"/>
          <w:sz w:val="24"/>
        </w:rPr>
        <w:t>The implementation follows a cloud-native, infrastructure-as-code methodology using Azure Bicep/ARM templates for resource provisioning, PowerShell scripts for Sentinel configuration, and Azure CLI for deployment orchestration. The approach ensures repeatable, auditable deployments across all environments.</w:t>
      </w:r>
    </w:p>
    <w:p>
      <w:pPr>
        <w:pStyle w:val="Heading2"/>
        <w:spacing w:before="240" w:after="120"/>
        <w:ind w:left="0"/>
      </w:pPr>
      <w:r>
        <w:t>1.3 Automation Framework Overview</w:t>
      </w:r>
    </w:p>
    <w:p>
      <w:r>
        <w:rPr>
          <w:rFonts w:ascii="Calibri" w:hAnsi="Calibri"/>
          <w:sz w:val="24"/>
        </w:rPr>
        <w:t>The following automation technologies are included in this delivery.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Location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Bicep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`scripts/bicep/`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CLI 2.40+, Bicep CLI</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PowerShell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configuration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`scripts/powershell/`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Az.SecurityInsights module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CLI</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orchestration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`scripts/bash/`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CLI 2.40+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Technology</w:t>
      </w:r>
    </w:p>
    <w:p>
      <w:pPr>
        <w:pStyle w:val="Heading2"/>
        <w:spacing w:before="240" w:after="120"/>
        <w:ind w:left="0"/>
      </w:pPr>
      <w:r>
        <w:t>1.4 Scope Summary</w:t>
      </w:r>
    </w:p>
    <w:p>
      <w:pPr>
        <w:pStyle w:val="Heading3"/>
        <w:spacing w:before="160" w:after="120"/>
        <w:ind w:left="0"/>
      </w:pPr>
      <w:r>
        <w:t>1.4.1 In Scope</w:t>
      </w:r>
    </w:p>
    <w:p>
      <w:r>
        <w:rPr>
          <w:rFonts w:ascii="Calibri" w:hAnsi="Calibri"/>
          <w:sz w:val="24"/>
        </w:rPr>
        <w:t>The following components are deployed using the automation framework.</w:t>
      </w:r>
    </w:p>
    <w:p>
      <w:pPr>
        <w:spacing w:after="80"/>
        <w:ind w:left="360"/>
      </w:pPr>
      <w:r>
        <w:rPr>
          <w:rFonts w:ascii="Calibri" w:hAnsi="Calibri"/>
          <w:sz w:val="24"/>
        </w:rPr>
        <w:t xml:space="preserve">• </w:t>
      </w:r>
      <w:r>
        <w:rPr>
          <w:rFonts w:ascii="Calibri" w:hAnsi="Calibri"/>
          <w:sz w:val="24"/>
        </w:rPr>
        <w:t>Log Analytics workspace and Sentinel enablement</w:t>
      </w:r>
    </w:p>
    <w:p>
      <w:pPr>
        <w:spacing w:after="80"/>
        <w:ind w:left="360"/>
      </w:pPr>
      <w:r>
        <w:rPr>
          <w:rFonts w:ascii="Calibri" w:hAnsi="Calibri"/>
          <w:sz w:val="24"/>
        </w:rPr>
        <w:t xml:space="preserve">• </w:t>
      </w:r>
      <w:r>
        <w:rPr>
          <w:rFonts w:ascii="Calibri" w:hAnsi="Calibri"/>
          <w:sz w:val="24"/>
        </w:rPr>
        <w:t>Data connectors (15+ sources)</w:t>
      </w:r>
    </w:p>
    <w:p>
      <w:pPr>
        <w:spacing w:after="80"/>
        <w:ind w:left="360"/>
      </w:pPr>
      <w:r>
        <w:rPr>
          <w:rFonts w:ascii="Calibri" w:hAnsi="Calibri"/>
          <w:sz w:val="24"/>
        </w:rPr>
        <w:t xml:space="preserve">• </w:t>
      </w:r>
      <w:r>
        <w:rPr>
          <w:rFonts w:ascii="Calibri" w:hAnsi="Calibri"/>
          <w:sz w:val="24"/>
        </w:rPr>
        <w:t>Analytics rules (50+ rules)</w:t>
      </w:r>
    </w:p>
    <w:p>
      <w:pPr>
        <w:spacing w:after="80"/>
        <w:ind w:left="360"/>
      </w:pPr>
      <w:r>
        <w:rPr>
          <w:rFonts w:ascii="Calibri" w:hAnsi="Calibri"/>
          <w:sz w:val="24"/>
        </w:rPr>
        <w:t xml:space="preserve">• </w:t>
      </w:r>
      <w:r>
        <w:rPr>
          <w:rFonts w:ascii="Calibri" w:hAnsi="Calibri"/>
          <w:sz w:val="24"/>
        </w:rPr>
        <w:t>SOAR playbooks (12 Logic Apps)</w:t>
      </w:r>
    </w:p>
    <w:p>
      <w:pPr>
        <w:spacing w:after="80"/>
        <w:ind w:left="360"/>
      </w:pPr>
      <w:r>
        <w:rPr>
          <w:rFonts w:ascii="Calibri" w:hAnsi="Calibri"/>
          <w:sz w:val="24"/>
        </w:rPr>
        <w:t xml:space="preserve">• </w:t>
      </w:r>
      <w:r>
        <w:rPr>
          <w:rFonts w:ascii="Calibri" w:hAnsi="Calibri"/>
          <w:sz w:val="24"/>
        </w:rPr>
        <w:t>RBAC and security configuration</w:t>
      </w:r>
    </w:p>
    <w:p>
      <w:pPr>
        <w:spacing w:after="80"/>
        <w:ind w:left="360"/>
      </w:pPr>
      <w:r>
        <w:rPr>
          <w:rFonts w:ascii="Calibri" w:hAnsi="Calibri"/>
          <w:sz w:val="24"/>
        </w:rPr>
        <w:t xml:space="preserve">• </w:t>
      </w:r>
      <w:r>
        <w:rPr>
          <w:rFonts w:ascii="Calibri" w:hAnsi="Calibri"/>
          <w:sz w:val="24"/>
        </w:rPr>
        <w:t>Monitoring and alerting dashboards</w:t>
      </w:r>
    </w:p>
    <w:p>
      <w:pPr>
        <w:pStyle w:val="Heading3"/>
        <w:spacing w:before="160" w:after="120"/>
        <w:ind w:left="0"/>
      </w:pPr>
      <w:r>
        <w:t>1.4.2 Out of Scope</w:t>
      </w:r>
    </w:p>
    <w:p>
      <w:r>
        <w:rPr>
          <w:rFonts w:ascii="Calibri" w:hAnsi="Calibri"/>
          <w:sz w:val="24"/>
        </w:rPr>
        <w:t>The following items are excluded from automated deployment.</w:t>
      </w:r>
    </w:p>
    <w:p>
      <w:pPr>
        <w:spacing w:after="80"/>
        <w:ind w:left="360"/>
      </w:pPr>
      <w:r>
        <w:rPr>
          <w:rFonts w:ascii="Calibri" w:hAnsi="Calibri"/>
          <w:sz w:val="24"/>
        </w:rPr>
        <w:t xml:space="preserve">• </w:t>
      </w:r>
      <w:r>
        <w:rPr>
          <w:rFonts w:ascii="Calibri" w:hAnsi="Calibri"/>
          <w:sz w:val="24"/>
        </w:rPr>
        <w:t>Third-party SIEM migration (separate engagement)</w:t>
      </w:r>
    </w:p>
    <w:p>
      <w:pPr>
        <w:spacing w:after="80"/>
        <w:ind w:left="360"/>
      </w:pPr>
      <w:r>
        <w:rPr>
          <w:rFonts w:ascii="Calibri" w:hAnsi="Calibri"/>
          <w:sz w:val="24"/>
        </w:rPr>
        <w:t xml:space="preserve">• </w:t>
      </w:r>
      <w:r>
        <w:rPr>
          <w:rFonts w:ascii="Calibri" w:hAnsi="Calibri"/>
          <w:sz w:val="24"/>
        </w:rPr>
        <w:t>Custom machine learning models (not in scope)</w:t>
      </w:r>
    </w:p>
    <w:p>
      <w:pPr>
        <w:spacing w:after="80"/>
        <w:ind w:left="360"/>
      </w:pPr>
      <w:r>
        <w:rPr>
          <w:rFonts w:ascii="Calibri" w:hAnsi="Calibri"/>
          <w:sz w:val="24"/>
        </w:rPr>
        <w:t xml:space="preserve">• </w:t>
      </w:r>
      <w:r>
        <w:rPr>
          <w:rFonts w:ascii="Calibri" w:hAnsi="Calibri"/>
          <w:sz w:val="24"/>
        </w:rPr>
        <w:t>End-user training delivery</w:t>
      </w:r>
    </w:p>
    <w:p>
      <w:pPr>
        <w:spacing w:after="80"/>
        <w:ind w:left="360"/>
      </w:pPr>
      <w:r>
        <w:rPr>
          <w:rFonts w:ascii="Calibri" w:hAnsi="Calibri"/>
          <w:sz w:val="24"/>
        </w:rPr>
        <w:t xml:space="preserve">• </w:t>
      </w:r>
      <w:r>
        <w:rPr>
          <w:rFonts w:ascii="Calibri" w:hAnsi="Calibri"/>
          <w:sz w:val="24"/>
        </w:rPr>
        <w:t>Ongoing managed services operations</w:t>
      </w:r>
    </w:p>
    <w:p>
      <w:pPr>
        <w:pStyle w:val="Heading2"/>
        <w:spacing w:before="240" w:after="120"/>
        <w:ind w:left="0"/>
      </w:pPr>
      <w:r>
        <w:t>1.5 Timeline Overview</w:t>
      </w:r>
    </w:p>
    <w:p>
      <w:r>
        <w:rPr>
          <w:rFonts w:ascii="Calibri" w:hAnsi="Calibri"/>
          <w:sz w:val="24"/>
        </w:rPr>
        <w:t>The implementation follows a phased deployment approach with validation gates.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&amp; Workspace Setup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enabled, RBAC configured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Connector Integration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5-8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connectors active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Analytics Rules Deployment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9-12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rules deployed, tuned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SOAR Playbook Development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13-16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playbooks operational</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17-18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tests passing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&amp; Hypercare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19-22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stable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Implementation Phases</w:t>
      </w:r>
    </w:p>
    <w:p>
      <w:r>
        <w:rPr>
          <w:rFonts w:ascii="Calibri" w:hAnsi="Calibri"/>
          <w:b/>
          <w:sz w:val="24"/>
        </w:rPr>
        <w:t>Total Implementation:</w:t>
      </w:r>
      <w:r>
        <w:rPr>
          <w:rFonts w:ascii="Calibri" w:hAnsi="Calibri"/>
          <w:sz w:val="24"/>
        </w:rPr>
        <w:t xml:space="preserve"> 22 weeks including hypercare</w:t>
      </w:r>
    </w:p>
    <w:p>
      <w:pPr>
        <w:pStyle w:val="Heading1"/>
        <w:spacing w:before="160" w:after="120"/>
        <w:ind w:left="0"/>
      </w:pPr>
      <w:r>
        <w:t>2 Prerequisites</w:t>
      </w:r>
    </w:p>
    <w:p>
      <w:r>
        <w:rPr>
          <w:rFonts w:ascii="Calibri" w:hAnsi="Calibri"/>
          <w:sz w:val="24"/>
        </w:rPr>
        <w:t>This section documents all requirements that must be satisfied before infrastructure deployment can begin.</w:t>
      </w:r>
    </w:p>
    <w:p>
      <w:pPr>
        <w:pStyle w:val="Heading2"/>
        <w:spacing w:before="240" w:after="120"/>
        <w:ind w:left="0"/>
      </w:pPr>
      <w:r>
        <w:t>2.1 Tool Installation</w:t>
      </w:r>
    </w:p>
    <w:p>
      <w:r>
        <w:rPr>
          <w:rFonts w:ascii="Calibri" w:hAnsi="Calibri"/>
          <w:sz w:val="24"/>
        </w:rPr>
        <w:t>The following tools must be installed on the deployment workstation before proceeding.</w:t>
      </w:r>
    </w:p>
    <w:p>
      <w:pPr>
        <w:pStyle w:val="Heading3"/>
        <w:spacing w:before="160" w:after="120"/>
        <w:ind w:left="0"/>
      </w:pPr>
      <w:r>
        <w:t>2.1.1 Required Tools Checklist</w:t>
      </w:r>
    </w:p>
    <w:p>
      <w:r>
        <w:rPr>
          <w:rFonts w:ascii="Calibri" w:hAnsi="Calibri"/>
          <w:sz w:val="24"/>
        </w:rPr>
        <w:t>Use the following checklist to verify all required tools are installed.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Azure CLI</w:t>
      </w:r>
      <w:r>
        <w:rPr>
          <w:rFonts w:ascii="Calibri" w:hAnsi="Calibri"/>
          <w:sz w:val="24"/>
        </w:rPr>
        <w:t xml:space="preserve"> &gt;= 2.40.0 - Azure resource management</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Azure Bicep CLI</w:t>
      </w:r>
      <w:r>
        <w:rPr>
          <w:rFonts w:ascii="Calibri" w:hAnsi="Calibri"/>
          <w:sz w:val="24"/>
        </w:rPr>
        <w:t xml:space="preserve"> &gt;= 0.12.0 - Infrastructure templates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PowerShell</w:t>
      </w:r>
      <w:r>
        <w:rPr>
          <w:rFonts w:ascii="Calibri" w:hAnsi="Calibri"/>
          <w:sz w:val="24"/>
        </w:rPr>
        <w:t xml:space="preserve"> &gt;= 7.2 - Automation scripts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Az PowerShell Module</w:t>
      </w:r>
      <w:r>
        <w:rPr>
          <w:rFonts w:ascii="Calibri" w:hAnsi="Calibri"/>
          <w:sz w:val="24"/>
        </w:rPr>
        <w:t xml:space="preserve"> &gt;= 9.0 - Azure management</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Az.SecurityInsights</w:t>
      </w:r>
      <w:r>
        <w:rPr>
          <w:rFonts w:ascii="Calibri" w:hAnsi="Calibri"/>
          <w:sz w:val="24"/>
        </w:rPr>
        <w:t xml:space="preserve"> &gt;= 3.0 - Sentinel configuration</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Git</w:t>
      </w:r>
      <w:r>
        <w:rPr>
          <w:rFonts w:ascii="Calibri" w:hAnsi="Calibri"/>
          <w:sz w:val="24"/>
        </w:rPr>
        <w:t xml:space="preserve"> - Source code management</w:t>
      </w:r>
    </w:p>
    <w:p>
      <w:pPr>
        <w:pStyle w:val="Heading3"/>
        <w:spacing w:before="160" w:after="120"/>
        <w:ind w:left="0"/>
      </w:pPr>
      <w:r>
        <w:t>2.1.2 Azure CLI Installation</w:t>
      </w:r>
    </w:p>
    <w:p>
      <w:r>
        <w:rPr>
          <w:rFonts w:ascii="Calibri" w:hAnsi="Calibri"/>
          <w:sz w:val="24"/>
        </w:rPr>
        <w:t>Install and configure the Azure CLI.</w:t>
      </w:r>
    </w:p>
    <w:p>
      <w:pPr>
        <w:pStyle w:val="Heading3"/>
        <w:spacing w:before="160" w:after="120"/>
        <w:ind w:left="0"/>
      </w:pPr>
      <w:r>
        <w:t>2.1.3 PowerShell Module Installation</w:t>
      </w:r>
    </w:p>
    <w:p>
      <w:r>
        <w:rPr>
          <w:rFonts w:ascii="Calibri" w:hAnsi="Calibri"/>
          <w:sz w:val="24"/>
        </w:rPr>
        <w:t>Install required PowerShell modules.</w:t>
      </w:r>
    </w:p>
    <w:p>
      <w:pPr>
        <w:pStyle w:val="Heading2"/>
        <w:spacing w:before="240" w:after="120"/>
        <w:ind w:left="0"/>
      </w:pPr>
      <w:r>
        <w:t>2.2 Azure Account Configuration</w:t>
      </w:r>
    </w:p>
    <w:p>
      <w:pPr>
        <w:pStyle w:val="Heading3"/>
        <w:spacing w:before="160" w:after="120"/>
        <w:ind w:left="0"/>
      </w:pPr>
      <w:r>
        <w:t>2.2.1 Authentication Setup</w:t>
      </w:r>
    </w:p>
    <w:p>
      <w:pPr>
        <w:pStyle w:val="Heading3"/>
        <w:spacing w:before="160" w:after="120"/>
        <w:ind w:left="0"/>
      </w:pPr>
      <w:r>
        <w:t>2.2.2 Required Permissions</w:t>
      </w:r>
    </w:p>
    <w:p>
      <w:r>
        <w:rPr>
          <w:rFonts w:ascii="Calibri" w:hAnsi="Calibri"/>
          <w:sz w:val="24"/>
        </w:rPr>
        <w:t>The following Azure AD and Azure RBAC permissions are required:</w:t>
      </w:r>
    </w:p>
    <w:p>
      <w:pPr>
        <w:spacing w:after="80"/>
        <w:ind w:left="360"/>
      </w:pPr>
      <w:r>
        <w:rPr>
          <w:rFonts w:ascii="Calibri" w:hAnsi="Calibri"/>
          <w:sz w:val="24"/>
        </w:rPr>
        <w:t xml:space="preserve">• </w:t>
      </w:r>
      <w:r>
        <w:rPr>
          <w:rFonts w:ascii="Calibri" w:hAnsi="Calibri"/>
          <w:b/>
          <w:sz w:val="24"/>
        </w:rPr>
        <w:t>Azure AD:</w:t>
      </w:r>
      <w:r>
        <w:rPr>
          <w:rFonts w:ascii="Calibri" w:hAnsi="Calibri"/>
          <w:sz w:val="24"/>
        </w:rPr>
        <w:t xml:space="preserve"> Global Administrator or Security Administrator</w:t>
      </w:r>
    </w:p>
    <w:p>
      <w:pPr>
        <w:spacing w:after="80"/>
        <w:ind w:left="360"/>
      </w:pPr>
      <w:r>
        <w:rPr>
          <w:rFonts w:ascii="Calibri" w:hAnsi="Calibri"/>
          <w:sz w:val="24"/>
        </w:rPr>
        <w:t xml:space="preserve">• </w:t>
      </w:r>
      <w:r>
        <w:rPr>
          <w:rFonts w:ascii="Calibri" w:hAnsi="Calibri"/>
          <w:b/>
          <w:sz w:val="24"/>
        </w:rPr>
        <w:t>Subscription:</w:t>
      </w:r>
      <w:r>
        <w:rPr>
          <w:rFonts w:ascii="Calibri" w:hAnsi="Calibri"/>
          <w:sz w:val="24"/>
        </w:rPr>
        <w:t xml:space="preserve"> Owner or Contributor + User Access Administrator</w:t>
      </w:r>
    </w:p>
    <w:p>
      <w:pPr>
        <w:spacing w:after="80"/>
        <w:ind w:left="360"/>
      </w:pPr>
      <w:r>
        <w:rPr>
          <w:rFonts w:ascii="Calibri" w:hAnsi="Calibri"/>
          <w:sz w:val="24"/>
        </w:rPr>
        <w:t xml:space="preserve">• </w:t>
      </w:r>
      <w:r>
        <w:rPr>
          <w:rFonts w:ascii="Calibri" w:hAnsi="Calibri"/>
          <w:b/>
          <w:sz w:val="24"/>
        </w:rPr>
        <w:t>Resource Group:</w:t>
      </w:r>
      <w:r>
        <w:rPr>
          <w:rFonts w:ascii="Calibri" w:hAnsi="Calibri"/>
          <w:sz w:val="24"/>
        </w:rPr>
        <w:t xml:space="preserve"> Contributor (for deployment scope)</w:t>
      </w:r>
    </w:p>
    <w:p>
      <w:pPr>
        <w:pStyle w:val="Heading3"/>
        <w:spacing w:before="160" w:after="120"/>
        <w:ind w:left="0"/>
      </w:pPr>
      <w:r>
        <w:t>2.2.3 Service Quotas</w:t>
      </w:r>
    </w:p>
    <w:p>
      <w:r>
        <w:rPr>
          <w:rFonts w:ascii="Calibri" w:hAnsi="Calibri"/>
          <w:sz w:val="24"/>
        </w:rPr>
        <w:t>Verify the following service quotas are available:</w:t>
      </w:r>
    </w:p>
    <w:p>
      <w:pPr>
        <w:pStyle w:val="Heading2"/>
        <w:spacing w:before="240" w:after="120"/>
        <w:ind w:left="0"/>
      </w:pPr>
      <w:r>
        <w:t>2.3 Prerequisite Validation</w:t>
      </w:r>
    </w:p>
    <w:p>
      <w:pPr>
        <w:pStyle w:val="Heading3"/>
        <w:spacing w:before="160" w:after="120"/>
        <w:ind w:left="0"/>
      </w:pPr>
      <w:r>
        <w:t>2.3.1 Automated Validation Script</w:t>
      </w:r>
    </w:p>
    <w:p>
      <w:pPr>
        <w:pStyle w:val="Heading1"/>
        <w:spacing w:before="160" w:after="120"/>
        <w:ind w:left="0"/>
      </w:pPr>
      <w:r>
        <w:t>3 Environment Setup</w:t>
      </w:r>
    </w:p>
    <w:p>
      <w:r>
        <w:rPr>
          <w:rFonts w:ascii="Calibri" w:hAnsi="Calibri"/>
          <w:sz w:val="24"/>
        </w:rPr>
        <w:t>This section covers environment configuration and infrastructure state management.</w:t>
      </w:r>
    </w:p>
    <w:p>
      <w:pPr>
        <w:pStyle w:val="Heading2"/>
        <w:spacing w:before="240" w:after="120"/>
        <w:ind w:left="0"/>
      </w:pPr>
      <w:r>
        <w:t>3.1 Terraform/Bicep State Configuration</w:t>
      </w:r>
    </w:p>
    <w:p>
      <w:pPr>
        <w:pStyle w:val="Heading3"/>
        <w:spacing w:before="160" w:after="120"/>
        <w:ind w:left="0"/>
      </w:pPr>
      <w:r>
        <w:t>3.1.1 State Storage Setup</w:t>
      </w:r>
    </w:p>
    <w:p>
      <w:pPr>
        <w:pStyle w:val="Heading2"/>
        <w:spacing w:before="240" w:after="120"/>
        <w:ind w:left="0"/>
      </w:pPr>
      <w:r>
        <w:t>3.2 Environment Configuration</w:t>
      </w:r>
    </w:p>
    <w:p>
      <w:pPr>
        <w:pStyle w:val="Heading3"/>
        <w:spacing w:before="160" w:after="120"/>
        <w:ind w:left="0"/>
      </w:pPr>
      <w:r>
        <w:t>3.2.1 Production Environment Variables</w:t>
      </w:r>
    </w:p>
    <w:p>
      <w:pPr>
        <w:pStyle w:val="Heading3"/>
        <w:spacing w:before="160" w:after="120"/>
        <w:ind w:left="0"/>
      </w:pPr>
      <w:r>
        <w:t>3.2.2 Configuration Validation</w:t>
      </w:r>
    </w:p>
    <w:p>
      <w:pPr>
        <w:pStyle w:val="Heading1"/>
        <w:spacing w:before="160" w:after="120"/>
        <w:ind w:left="0"/>
      </w:pPr>
      <w:r>
        <w:t>4 Infrastructure Deployment</w:t>
      </w:r>
    </w:p>
    <w:p>
      <w:r>
        <w:rPr>
          <w:rFonts w:ascii="Calibri" w:hAnsi="Calibri"/>
          <w:sz w:val="24"/>
        </w:rPr>
        <w:t>This section provides step-by-step infrastructure deployment procedures following a phased approach. The deployment covers four key layers: networking, security, compute, and monitoring infrastructure.</w:t>
      </w:r>
    </w:p>
    <w:p>
      <w:pPr>
        <w:pStyle w:val="Heading2"/>
        <w:spacing w:before="240" w:after="120"/>
        <w:ind w:left="0"/>
      </w:pPr>
      <w:r>
        <w:t>4.1 Phase 1: Networking Layer</w:t>
      </w:r>
    </w:p>
    <w:p>
      <w:pPr>
        <w:pStyle w:val="Heading3"/>
        <w:spacing w:before="160" w:after="120"/>
        <w:ind w:left="0"/>
      </w:pPr>
      <w:r>
        <w:t>4.1.1 Foundation Infrastructure</w:t>
      </w:r>
    </w:p>
    <w:p>
      <w:pPr>
        <w:pStyle w:val="Heading3"/>
        <w:spacing w:before="160" w:after="120"/>
        <w:ind w:left="0"/>
      </w:pPr>
      <w:r>
        <w:t>4.1.2 Resource Group Deployment</w:t>
      </w:r>
    </w:p>
    <w:p>
      <w:pPr>
        <w:pStyle w:val="Heading3"/>
        <w:spacing w:before="160" w:after="120"/>
        <w:ind w:left="0"/>
      </w:pPr>
      <w:r>
        <w:t>4.1.3 Log Analytics Workspace Deployment</w:t>
      </w:r>
    </w:p>
    <w:p>
      <w:pPr>
        <w:pStyle w:val="Heading3"/>
        <w:spacing w:before="160" w:after="120"/>
        <w:ind w:left="0"/>
      </w:pPr>
      <w:r>
        <w:t>4.1.4 Azure Sentinel Enablement</w:t>
      </w:r>
    </w:p>
    <w:p>
      <w:pPr>
        <w:pStyle w:val="Heading2"/>
        <w:spacing w:before="240" w:after="120"/>
        <w:ind w:left="0"/>
      </w:pPr>
      <w:r>
        <w:t>4.2 Phase 2: Security Layer</w:t>
      </w:r>
    </w:p>
    <w:p>
      <w:pPr>
        <w:pStyle w:val="Heading3"/>
        <w:spacing w:before="160" w:after="120"/>
        <w:ind w:left="0"/>
      </w:pPr>
      <w:r>
        <w:t>4.2.1 Key Vault Deployment</w:t>
      </w:r>
    </w:p>
    <w:p>
      <w:pPr>
        <w:pStyle w:val="Heading3"/>
        <w:spacing w:before="160" w:after="120"/>
        <w:ind w:left="0"/>
      </w:pPr>
      <w:r>
        <w:t>4.2.2 RBAC Configuration</w:t>
      </w:r>
    </w:p>
    <w:p>
      <w:pPr>
        <w:pStyle w:val="Heading2"/>
        <w:spacing w:before="240" w:after="120"/>
        <w:ind w:left="0"/>
      </w:pPr>
      <w:r>
        <w:t>4.3 Phase 3: Compute Layer</w:t>
      </w:r>
    </w:p>
    <w:p>
      <w:pPr>
        <w:pStyle w:val="Heading3"/>
        <w:spacing w:before="160" w:after="120"/>
        <w:ind w:left="0"/>
      </w:pPr>
      <w:r>
        <w:t>4.3.1 Data Connector Deployment</w:t>
      </w:r>
    </w:p>
    <w:p>
      <w:pPr>
        <w:pStyle w:val="Heading4"/>
        <w:spacing w:before="160" w:after="120"/>
        <w:ind w:left="0"/>
      </w:pPr>
      <w:r>
        <w:t>4.3.1.1 Azure AD Connector</w:t>
      </w:r>
    </w:p>
    <w:p>
      <w:pPr>
        <w:pStyle w:val="Heading4"/>
        <w:spacing w:before="160" w:after="120"/>
        <w:ind w:left="0"/>
      </w:pPr>
      <w:r>
        <w:t>4.3.1.2 Office 365 Connector</w:t>
      </w:r>
    </w:p>
    <w:p>
      <w:pPr>
        <w:pStyle w:val="Heading4"/>
        <w:spacing w:before="160" w:after="120"/>
        <w:ind w:left="0"/>
      </w:pPr>
      <w:r>
        <w:t>4.3.1.3 Defender for Cloud Connector</w:t>
      </w:r>
    </w:p>
    <w:p>
      <w:pPr>
        <w:pStyle w:val="Heading2"/>
        <w:spacing w:before="240" w:after="120"/>
        <w:ind w:left="0"/>
      </w:pPr>
      <w:r>
        <w:t>4.4 Phase 4: Monitoring Layer</w:t>
      </w:r>
    </w:p>
    <w:p>
      <w:pPr>
        <w:pStyle w:val="Heading3"/>
        <w:spacing w:before="160" w:after="120"/>
        <w:ind w:left="0"/>
      </w:pPr>
      <w:r>
        <w:t>4.4.1 Monitoring Dashboard Configuration</w:t>
      </w:r>
    </w:p>
    <w:p>
      <w:pPr>
        <w:pStyle w:val="Heading3"/>
        <w:spacing w:before="160" w:after="120"/>
        <w:ind w:left="0"/>
      </w:pPr>
      <w:r>
        <w:t>4.4.2 Health Workbook Deployment</w:t>
      </w:r>
    </w:p>
    <w:p>
      <w:r>
        <w:rPr>
          <w:rFonts w:ascii="Calibri" w:hAnsi="Calibri"/>
          <w:sz w:val="24"/>
        </w:rPr>
        <w:t>Deploy the Sentinel health workbook for operational monitoring:</w:t>
      </w:r>
    </w:p>
    <w:p>
      <w:pPr>
        <w:spacing w:after="80"/>
        <w:ind w:left="360"/>
      </w:pPr>
      <w:r>
        <w:rPr>
          <w:rFonts w:ascii="Calibri" w:hAnsi="Calibri"/>
          <w:sz w:val="24"/>
        </w:rPr>
        <w:t xml:space="preserve">• </w:t>
      </w:r>
      <w:r>
        <w:rPr>
          <w:rFonts w:ascii="Calibri" w:hAnsi="Calibri"/>
          <w:sz w:val="24"/>
        </w:rPr>
        <w:t>Data connector status</w:t>
      </w:r>
    </w:p>
    <w:p>
      <w:pPr>
        <w:spacing w:after="80"/>
        <w:ind w:left="360"/>
      </w:pPr>
      <w:r>
        <w:rPr>
          <w:rFonts w:ascii="Calibri" w:hAnsi="Calibri"/>
          <w:sz w:val="24"/>
        </w:rPr>
        <w:t xml:space="preserve">• </w:t>
      </w:r>
      <w:r>
        <w:rPr>
          <w:rFonts w:ascii="Calibri" w:hAnsi="Calibri"/>
          <w:sz w:val="24"/>
        </w:rPr>
        <w:t>Ingestion volume trends</w:t>
      </w:r>
    </w:p>
    <w:p>
      <w:pPr>
        <w:spacing w:after="80"/>
        <w:ind w:left="360"/>
      </w:pPr>
      <w:r>
        <w:rPr>
          <w:rFonts w:ascii="Calibri" w:hAnsi="Calibri"/>
          <w:sz w:val="24"/>
        </w:rPr>
        <w:t xml:space="preserve">• </w:t>
      </w:r>
      <w:r>
        <w:rPr>
          <w:rFonts w:ascii="Calibri" w:hAnsi="Calibri"/>
          <w:sz w:val="24"/>
        </w:rPr>
        <w:t>Analytics rule performance</w:t>
      </w:r>
    </w:p>
    <w:p>
      <w:pPr>
        <w:spacing w:after="80"/>
        <w:ind w:left="360"/>
      </w:pPr>
      <w:r>
        <w:rPr>
          <w:rFonts w:ascii="Calibri" w:hAnsi="Calibri"/>
          <w:sz w:val="24"/>
        </w:rPr>
        <w:t xml:space="preserve">• </w:t>
      </w:r>
      <w:r>
        <w:rPr>
          <w:rFonts w:ascii="Calibri" w:hAnsi="Calibri"/>
          <w:sz w:val="24"/>
        </w:rPr>
        <w:t>Playbook execution metrics</w:t>
      </w:r>
    </w:p>
    <w:p>
      <w:pPr>
        <w:pStyle w:val="Heading1"/>
        <w:spacing w:before="160" w:after="120"/>
        <w:ind w:left="0"/>
      </w:pPr>
      <w:r>
        <w:t>5 Application Configuration</w:t>
      </w:r>
    </w:p>
    <w:p>
      <w:r>
        <w:rPr>
          <w:rFonts w:ascii="Calibri" w:hAnsi="Calibri"/>
          <w:sz w:val="24"/>
        </w:rPr>
        <w:t>This section covers Sentinel feature configuration and optimization.</w:t>
      </w:r>
    </w:p>
    <w:p>
      <w:pPr>
        <w:pStyle w:val="Heading2"/>
        <w:spacing w:before="240" w:after="120"/>
        <w:ind w:left="0"/>
      </w:pPr>
      <w:r>
        <w:t>5.1 Analytics Rules Configuration</w:t>
      </w:r>
    </w:p>
    <w:p>
      <w:pPr>
        <w:pStyle w:val="Heading3"/>
        <w:spacing w:before="160" w:after="120"/>
        <w:ind w:left="0"/>
      </w:pPr>
      <w:r>
        <w:t>5.1.1 Built-in Rules Deployment</w:t>
      </w:r>
    </w:p>
    <w:p>
      <w:pPr>
        <w:pStyle w:val="Heading3"/>
        <w:spacing w:before="160" w:after="120"/>
        <w:ind w:left="0"/>
      </w:pPr>
      <w:r>
        <w:t>5.1.2 Custom Rules Deployment</w:t>
      </w:r>
    </w:p>
    <w:p>
      <w:pPr>
        <w:pStyle w:val="Heading2"/>
        <w:spacing w:before="240" w:after="120"/>
        <w:ind w:left="0"/>
      </w:pPr>
      <w:r>
        <w:t>5.2 SOAR Playbook Deployment</w:t>
      </w:r>
    </w:p>
    <w:p>
      <w:pPr>
        <w:pStyle w:val="Heading3"/>
        <w:spacing w:before="160" w:after="120"/>
        <w:ind w:left="0"/>
      </w:pPr>
      <w:r>
        <w:t>5.2.1 Logic App Infrastructure</w:t>
      </w:r>
    </w:p>
    <w:p>
      <w:pPr>
        <w:pStyle w:val="Heading3"/>
        <w:spacing w:before="160" w:after="120"/>
        <w:ind w:left="0"/>
      </w:pPr>
      <w:r>
        <w:t>5.2.2 Playbook Configuration</w:t>
      </w:r>
    </w:p>
    <w:p>
      <w:pPr>
        <w:pStyle w:val="Heading1"/>
        <w:spacing w:before="160" w:after="120"/>
        <w:ind w:left="0"/>
      </w:pPr>
      <w:r>
        <w:t>6 Integration Testing</w:t>
      </w:r>
    </w:p>
    <w:p>
      <w:r>
        <w:rPr>
          <w:rFonts w:ascii="Calibri" w:hAnsi="Calibri"/>
          <w:sz w:val="24"/>
        </w:rPr>
        <w:t>This section covers testing procedures for validation.</w:t>
      </w:r>
    </w:p>
    <w:p>
      <w:pPr>
        <w:pStyle w:val="Heading2"/>
        <w:spacing w:before="240" w:after="120"/>
        <w:ind w:left="0"/>
      </w:pPr>
      <w:r>
        <w:t>6.1 Functional Testing</w:t>
      </w:r>
    </w:p>
    <w:p>
      <w:pPr>
        <w:pStyle w:val="Heading3"/>
        <w:spacing w:before="160" w:after="120"/>
        <w:ind w:left="0"/>
      </w:pPr>
      <w:r>
        <w:t>6.1.1 Data Connector Validation</w:t>
      </w:r>
    </w:p>
    <w:p>
      <w:pPr>
        <w:pStyle w:val="Heading3"/>
        <w:spacing w:before="160" w:after="120"/>
        <w:ind w:left="0"/>
      </w:pPr>
      <w:r>
        <w:t>6.1.2 Data Ingestion Validation</w:t>
      </w:r>
    </w:p>
    <w:p>
      <w:pPr>
        <w:pStyle w:val="Heading3"/>
        <w:spacing w:before="160" w:after="120"/>
        <w:ind w:left="0"/>
      </w:pPr>
      <w:r>
        <w:t>6.1.3 Analytics Rule Testing</w:t>
      </w:r>
    </w:p>
    <w:p>
      <w:pPr>
        <w:pStyle w:val="Heading2"/>
        <w:spacing w:before="240" w:after="120"/>
        <w:ind w:left="0"/>
      </w:pPr>
      <w:r>
        <w:t>6.2 Performance Testing</w:t>
      </w:r>
    </w:p>
    <w:p>
      <w:pPr>
        <w:pStyle w:val="Heading3"/>
        <w:spacing w:before="160" w:after="120"/>
        <w:ind w:left="0"/>
      </w:pPr>
      <w:r>
        <w:t>6.2.1 Query Performance Validation</w:t>
      </w:r>
    </w:p>
    <w:p>
      <w:pPr>
        <w:pStyle w:val="Heading3"/>
        <w:spacing w:before="160" w:after="120"/>
        <w:ind w:left="0"/>
      </w:pPr>
      <w:r>
        <w:t>6.2.2 Playbook Execution Testing</w:t>
      </w:r>
    </w:p>
    <w:p>
      <w:pPr>
        <w:pStyle w:val="Heading1"/>
        <w:spacing w:before="160" w:after="120"/>
        <w:ind w:left="0"/>
      </w:pPr>
      <w:r>
        <w:t>7 Security Validation</w:t>
      </w:r>
    </w:p>
    <w:p>
      <w:r>
        <w:rPr>
          <w:rFonts w:ascii="Calibri" w:hAnsi="Calibri"/>
          <w:sz w:val="24"/>
        </w:rPr>
        <w:t>This section covers security validation procedures.</w:t>
      </w:r>
    </w:p>
    <w:p>
      <w:pPr>
        <w:pStyle w:val="Heading2"/>
        <w:spacing w:before="240" w:after="120"/>
        <w:ind w:left="0"/>
      </w:pPr>
      <w:r>
        <w:t>7.1 Security Scan Execution</w:t>
      </w:r>
    </w:p>
    <w:p>
      <w:pPr>
        <w:pStyle w:val="Heading3"/>
        <w:spacing w:before="160" w:after="120"/>
        <w:ind w:left="0"/>
      </w:pPr>
      <w:r>
        <w:t>7.1.1 RBAC Validation</w:t>
      </w:r>
    </w:p>
    <w:p>
      <w:pPr>
        <w:pStyle w:val="Heading3"/>
        <w:spacing w:before="160" w:after="120"/>
        <w:ind w:left="0"/>
      </w:pPr>
      <w:r>
        <w:t>7.1.2 Encryption Validation</w:t>
      </w:r>
    </w:p>
    <w:p>
      <w:pPr>
        <w:pStyle w:val="Heading2"/>
        <w:spacing w:before="240" w:after="120"/>
        <w:ind w:left="0"/>
      </w:pPr>
      <w:r>
        <w:t>7.2 Compliance Validation</w:t>
      </w:r>
    </w:p>
    <w:p>
      <w:pPr>
        <w:pStyle w:val="Heading3"/>
        <w:spacing w:before="160" w:after="120"/>
        <w:ind w:left="0"/>
      </w:pPr>
      <w:r>
        <w:t>7.2.1 Audit Logging Verification</w:t>
      </w:r>
    </w:p>
    <w:p>
      <w:pPr>
        <w:pStyle w:val="Heading2"/>
        <w:spacing w:before="240" w:after="120"/>
        <w:ind w:left="0"/>
      </w:pPr>
      <w:r>
        <w:t>7.3 Security Validation Checklist</w:t>
      </w:r>
    </w:p>
    <w:p>
      <w:pPr>
        <w:spacing w:after="80"/>
        <w:ind w:left="360"/>
      </w:pPr>
      <w:r>
        <w:rPr>
          <w:rFonts w:ascii="Calibri" w:hAnsi="Calibri"/>
          <w:sz w:val="24"/>
        </w:rPr>
        <w:t xml:space="preserve">• </w:t>
      </w:r>
      <w:r>
        <w:rPr>
          <w:rFonts w:ascii="Calibri" w:hAnsi="Calibri"/>
          <w:sz w:val="24"/>
        </w:rPr>
        <w:t>[ ] RBAC follows least privilege principle</w:t>
      </w:r>
    </w:p>
    <w:p>
      <w:pPr>
        <w:spacing w:after="80"/>
        <w:ind w:left="360"/>
      </w:pPr>
      <w:r>
        <w:rPr>
          <w:rFonts w:ascii="Calibri" w:hAnsi="Calibri"/>
          <w:sz w:val="24"/>
        </w:rPr>
        <w:t xml:space="preserve">• </w:t>
      </w:r>
      <w:r>
        <w:rPr>
          <w:rFonts w:ascii="Calibri" w:hAnsi="Calibri"/>
          <w:sz w:val="24"/>
        </w:rPr>
        <w:t>[ ] No Owner roles assigned unnecessarily</w:t>
      </w:r>
    </w:p>
    <w:p>
      <w:pPr>
        <w:spacing w:after="80"/>
        <w:ind w:left="360"/>
      </w:pPr>
      <w:r>
        <w:rPr>
          <w:rFonts w:ascii="Calibri" w:hAnsi="Calibri"/>
          <w:sz w:val="24"/>
        </w:rPr>
        <w:t xml:space="preserve">• </w:t>
      </w:r>
      <w:r>
        <w:rPr>
          <w:rFonts w:ascii="Calibri" w:hAnsi="Calibri"/>
          <w:sz w:val="24"/>
        </w:rPr>
        <w:t>[ ] Key Vault soft delete enabled</w:t>
      </w:r>
    </w:p>
    <w:p>
      <w:pPr>
        <w:spacing w:after="80"/>
        <w:ind w:left="360"/>
      </w:pPr>
      <w:r>
        <w:rPr>
          <w:rFonts w:ascii="Calibri" w:hAnsi="Calibri"/>
          <w:sz w:val="24"/>
        </w:rPr>
        <w:t xml:space="preserve">• </w:t>
      </w:r>
      <w:r>
        <w:rPr>
          <w:rFonts w:ascii="Calibri" w:hAnsi="Calibri"/>
          <w:sz w:val="24"/>
        </w:rPr>
        <w:t>[ ] All data encrypted at rest</w:t>
      </w:r>
    </w:p>
    <w:p>
      <w:pPr>
        <w:spacing w:after="80"/>
        <w:ind w:left="360"/>
      </w:pPr>
      <w:r>
        <w:rPr>
          <w:rFonts w:ascii="Calibri" w:hAnsi="Calibri"/>
          <w:sz w:val="24"/>
        </w:rPr>
        <w:t xml:space="preserve">• </w:t>
      </w:r>
      <w:r>
        <w:rPr>
          <w:rFonts w:ascii="Calibri" w:hAnsi="Calibri"/>
          <w:sz w:val="24"/>
        </w:rPr>
        <w:t>[ ] TLS 1.2+ enforced</w:t>
      </w:r>
    </w:p>
    <w:p>
      <w:pPr>
        <w:spacing w:after="80"/>
        <w:ind w:left="360"/>
      </w:pPr>
      <w:r>
        <w:rPr>
          <w:rFonts w:ascii="Calibri" w:hAnsi="Calibri"/>
          <w:sz w:val="24"/>
        </w:rPr>
        <w:t xml:space="preserve">• </w:t>
      </w:r>
      <w:r>
        <w:rPr>
          <w:rFonts w:ascii="Calibri" w:hAnsi="Calibri"/>
          <w:sz w:val="24"/>
        </w:rPr>
        <w:t>[ ] Audit logging enabled</w:t>
      </w:r>
    </w:p>
    <w:p>
      <w:pPr>
        <w:spacing w:after="80"/>
        <w:ind w:left="360"/>
      </w:pPr>
      <w:r>
        <w:rPr>
          <w:rFonts w:ascii="Calibri" w:hAnsi="Calibri"/>
          <w:sz w:val="24"/>
        </w:rPr>
        <w:t xml:space="preserve">• </w:t>
      </w:r>
      <w:r>
        <w:rPr>
          <w:rFonts w:ascii="Calibri" w:hAnsi="Calibri"/>
          <w:sz w:val="24"/>
        </w:rPr>
        <w:t>[ ] Network access restricted appropriately</w:t>
      </w:r>
    </w:p>
    <w:p>
      <w:pPr>
        <w:pStyle w:val="Heading1"/>
        <w:spacing w:before="160" w:after="120"/>
        <w:ind w:left="0"/>
      </w:pPr>
      <w:r>
        <w:t>8 Migration &amp; Cutover</w:t>
      </w:r>
    </w:p>
    <w:p>
      <w:r>
        <w:rPr>
          <w:rFonts w:ascii="Calibri" w:hAnsi="Calibri"/>
          <w:sz w:val="24"/>
        </w:rPr>
        <w:t>This section covers production cutover procedures.</w:t>
      </w:r>
    </w:p>
    <w:p>
      <w:pPr>
        <w:pStyle w:val="Heading2"/>
        <w:spacing w:before="240" w:after="120"/>
        <w:ind w:left="0"/>
      </w:pPr>
      <w:r>
        <w:t>8.1 Pre-Migration Checklist</w:t>
      </w:r>
    </w:p>
    <w:p>
      <w:pPr>
        <w:spacing w:after="80"/>
        <w:ind w:left="360"/>
      </w:pPr>
      <w:r>
        <w:rPr>
          <w:rFonts w:ascii="Calibri" w:hAnsi="Calibri"/>
          <w:sz w:val="24"/>
        </w:rPr>
        <w:t xml:space="preserve">• </w:t>
      </w:r>
      <w:r>
        <w:rPr>
          <w:rFonts w:ascii="Calibri" w:hAnsi="Calibri"/>
          <w:sz w:val="24"/>
        </w:rPr>
        <w:t>[ ] All infrastructure deployed and validated</w:t>
      </w:r>
    </w:p>
    <w:p>
      <w:pPr>
        <w:spacing w:after="80"/>
        <w:ind w:left="360"/>
      </w:pPr>
      <w:r>
        <w:rPr>
          <w:rFonts w:ascii="Calibri" w:hAnsi="Calibri"/>
          <w:sz w:val="24"/>
        </w:rPr>
        <w:t xml:space="preserve">• </w:t>
      </w:r>
      <w:r>
        <w:rPr>
          <w:rFonts w:ascii="Calibri" w:hAnsi="Calibri"/>
          <w:sz w:val="24"/>
        </w:rPr>
        <w:t>[ ] All data connectors active and ingesting</w:t>
      </w:r>
    </w:p>
    <w:p>
      <w:pPr>
        <w:spacing w:after="80"/>
        <w:ind w:left="360"/>
      </w:pPr>
      <w:r>
        <w:rPr>
          <w:rFonts w:ascii="Calibri" w:hAnsi="Calibri"/>
          <w:sz w:val="24"/>
        </w:rPr>
        <w:t xml:space="preserve">• </w:t>
      </w:r>
      <w:r>
        <w:rPr>
          <w:rFonts w:ascii="Calibri" w:hAnsi="Calibri"/>
          <w:sz w:val="24"/>
        </w:rPr>
        <w:t>[ ] All analytics rules deployed and tuned</w:t>
      </w:r>
    </w:p>
    <w:p>
      <w:pPr>
        <w:spacing w:after="80"/>
        <w:ind w:left="360"/>
      </w:pPr>
      <w:r>
        <w:rPr>
          <w:rFonts w:ascii="Calibri" w:hAnsi="Calibri"/>
          <w:sz w:val="24"/>
        </w:rPr>
        <w:t xml:space="preserve">• </w:t>
      </w:r>
      <w:r>
        <w:rPr>
          <w:rFonts w:ascii="Calibri" w:hAnsi="Calibri"/>
          <w:sz w:val="24"/>
        </w:rPr>
        <w:t>[ ] All playbooks tested and operational</w:t>
      </w:r>
    </w:p>
    <w:p>
      <w:pPr>
        <w:spacing w:after="80"/>
        <w:ind w:left="360"/>
      </w:pPr>
      <w:r>
        <w:rPr>
          <w:rFonts w:ascii="Calibri" w:hAnsi="Calibri"/>
          <w:sz w:val="24"/>
        </w:rPr>
        <w:t xml:space="preserve">• </w:t>
      </w:r>
      <w:r>
        <w:rPr>
          <w:rFonts w:ascii="Calibri" w:hAnsi="Calibri"/>
          <w:sz w:val="24"/>
        </w:rPr>
        <w:t>[ ] Security validation completed</w:t>
      </w:r>
    </w:p>
    <w:p>
      <w:pPr>
        <w:spacing w:after="80"/>
        <w:ind w:left="360"/>
      </w:pPr>
      <w:r>
        <w:rPr>
          <w:rFonts w:ascii="Calibri" w:hAnsi="Calibri"/>
          <w:sz w:val="24"/>
        </w:rPr>
        <w:t xml:space="preserve">• </w:t>
      </w:r>
      <w:r>
        <w:rPr>
          <w:rFonts w:ascii="Calibri" w:hAnsi="Calibri"/>
          <w:sz w:val="24"/>
        </w:rPr>
        <w:t>[ ] SOC team trained</w:t>
      </w:r>
    </w:p>
    <w:p>
      <w:pPr>
        <w:spacing w:after="80"/>
        <w:ind w:left="360"/>
      </w:pPr>
      <w:r>
        <w:rPr>
          <w:rFonts w:ascii="Calibri" w:hAnsi="Calibri"/>
          <w:sz w:val="24"/>
        </w:rPr>
        <w:t xml:space="preserve">• </w:t>
      </w:r>
      <w:r>
        <w:rPr>
          <w:rFonts w:ascii="Calibri" w:hAnsi="Calibri"/>
          <w:sz w:val="24"/>
        </w:rPr>
        <w:t>[ ] Rollback plan documented</w:t>
      </w:r>
    </w:p>
    <w:p>
      <w:pPr>
        <w:spacing w:after="80"/>
        <w:ind w:left="360"/>
      </w:pPr>
      <w:r>
        <w:rPr>
          <w:rFonts w:ascii="Calibri" w:hAnsi="Calibri"/>
          <w:sz w:val="24"/>
        </w:rPr>
        <w:t xml:space="preserve">• </w:t>
      </w:r>
      <w:r>
        <w:rPr>
          <w:rFonts w:ascii="Calibri" w:hAnsi="Calibri"/>
          <w:sz w:val="24"/>
        </w:rPr>
        <w:t>[ ] Stakeholder approval obtained</w:t>
      </w:r>
    </w:p>
    <w:p>
      <w:pPr>
        <w:pStyle w:val="Heading2"/>
        <w:spacing w:before="240" w:after="120"/>
        <w:ind w:left="0"/>
      </w:pPr>
      <w:r>
        <w:t>8.2 Production Cutover</w:t>
      </w:r>
    </w:p>
    <w:p>
      <w:pPr>
        <w:pStyle w:val="Heading3"/>
        <w:spacing w:before="160" w:after="120"/>
        <w:ind w:left="0"/>
      </w:pPr>
      <w:r>
        <w:t>8.2.1 Go-Live Activation</w:t>
      </w:r>
    </w:p>
    <w:p>
      <w:pPr>
        <w:pStyle w:val="Heading3"/>
        <w:spacing w:before="160" w:after="120"/>
        <w:ind w:left="0"/>
      </w:pPr>
      <w:r>
        <w:t>8.2.2 Traffic Validation</w:t>
      </w:r>
    </w:p>
    <w:p>
      <w:pPr>
        <w:pStyle w:val="Heading2"/>
        <w:spacing w:before="240" w:after="120"/>
        <w:ind w:left="0"/>
      </w:pPr>
      <w:r>
        <w:t>8.3 Rollback Procedures</w:t>
      </w:r>
    </w:p>
    <w:p>
      <w:r>
        <w:rPr>
          <w:rFonts w:ascii="Calibri" w:hAnsi="Calibri"/>
          <w:sz w:val="24"/>
        </w:rPr>
        <w:t>If critical issues are identified, execute rollback.</w:t>
      </w:r>
    </w:p>
    <w:p>
      <w:pPr>
        <w:pStyle w:val="Heading1"/>
        <w:spacing w:before="160" w:after="120"/>
        <w:ind w:left="0"/>
      </w:pPr>
      <w:r>
        <w:t>9 Operational Handover</w:t>
      </w:r>
    </w:p>
    <w:p>
      <w:r>
        <w:rPr>
          <w:rFonts w:ascii="Calibri" w:hAnsi="Calibri"/>
          <w:sz w:val="24"/>
        </w:rPr>
        <w:t>This section covers the transition to ongoing operations.</w:t>
      </w:r>
    </w:p>
    <w:p>
      <w:pPr>
        <w:pStyle w:val="Heading2"/>
        <w:spacing w:before="240" w:after="120"/>
        <w:ind w:left="0"/>
      </w:pPr>
      <w:r>
        <w:t>9.1 Monitoring Dashboard Access</w:t>
      </w:r>
    </w:p>
    <w:p>
      <w:pPr>
        <w:pStyle w:val="Heading3"/>
        <w:spacing w:before="160" w:after="120"/>
        <w:ind w:left="0"/>
      </w:pPr>
      <w:r>
        <w:t>9.1.1 Sentinel Dashboard</w:t>
      </w:r>
    </w:p>
    <w:p>
      <w:r>
        <w:rPr>
          <w:rFonts w:ascii="Calibri" w:hAnsi="Calibri"/>
          <w:sz w:val="24"/>
        </w:rPr>
        <w:t>Access the Azure Sentinel dashboard:</w:t>
      </w:r>
    </w:p>
    <w:p>
      <w:pPr>
        <w:spacing w:after="80"/>
        <w:ind w:left="360"/>
      </w:pPr>
      <w:r>
        <w:rPr>
          <w:rFonts w:ascii="Calibri" w:hAnsi="Calibri"/>
          <w:sz w:val="24"/>
        </w:rPr>
        <w:t xml:space="preserve">• </w:t>
      </w:r>
      <w:r>
        <w:rPr>
          <w:rFonts w:ascii="Calibri" w:hAnsi="Calibri"/>
          <w:sz w:val="24"/>
        </w:rPr>
        <w:t>Azure Portal → Microsoft Sentinel → [workspace-name]</w:t>
      </w:r>
    </w:p>
    <w:p>
      <w:pPr>
        <w:spacing w:after="80"/>
        <w:ind w:left="360"/>
      </w:pPr>
      <w:r>
        <w:rPr>
          <w:rFonts w:ascii="Calibri" w:hAnsi="Calibri"/>
          <w:sz w:val="24"/>
        </w:rPr>
        <w:t xml:space="preserve">• </w:t>
      </w:r>
      <w:r>
        <w:rPr>
          <w:rFonts w:ascii="Calibri" w:hAnsi="Calibri"/>
          <w:sz w:val="24"/>
        </w:rPr>
        <w:t>Overview dashboard shows incident summary</w:t>
      </w:r>
    </w:p>
    <w:p>
      <w:pPr>
        <w:spacing w:after="80"/>
        <w:ind w:left="360"/>
      </w:pPr>
      <w:r>
        <w:rPr>
          <w:rFonts w:ascii="Calibri" w:hAnsi="Calibri"/>
          <w:sz w:val="24"/>
        </w:rPr>
        <w:t xml:space="preserve">• </w:t>
      </w:r>
      <w:r>
        <w:rPr>
          <w:rFonts w:ascii="Calibri" w:hAnsi="Calibri"/>
          <w:sz w:val="24"/>
        </w:rPr>
        <w:t>Workbooks provide detailed analytics</w:t>
      </w:r>
    </w:p>
    <w:p>
      <w:pPr>
        <w:pStyle w:val="Heading3"/>
        <w:spacing w:before="160" w:after="120"/>
        <w:ind w:left="0"/>
      </w:pPr>
      <w:r>
        <w:t>9.1.2 Key Metrics to Monitor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Threshold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 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Ingestion Lag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15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connector health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Volume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500/hour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alert tuning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Backlog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 open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Increase SOC capacity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Failures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Logic App logs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Query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60 seconds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Optimize queries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Monitoring Alerts</w:t>
      </w:r>
    </w:p>
    <w:p>
      <w:pPr>
        <w:pStyle w:val="Heading2"/>
        <w:spacing w:before="240" w:after="120"/>
        <w:ind w:left="0"/>
      </w:pPr>
      <w:r>
        <w:t>9.2 Support Transition</w:t>
      </w:r>
    </w:p>
    <w:p>
      <w:pPr>
        <w:pStyle w:val="Heading3"/>
        <w:spacing w:before="160" w:after="120"/>
        <w:ind w:left="0"/>
      </w:pPr>
      <w:r>
        <w:t>9.2.1 Support Model</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Team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triage, initial response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Analysts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minutes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investigation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Analysts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Complex threats, rule tuning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issues, vendor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Team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Next business day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Tier</w:t>
      </w:r>
    </w:p>
    <w:p>
      <w:pPr>
        <w:pStyle w:val="Heading3"/>
        <w:spacing w:before="160" w:after="120"/>
        <w:ind w:left="0"/>
      </w:pPr>
      <w:r>
        <w:t>9.2.2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soc-manager@client.com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Architect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sec-arch@client.com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On-Call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support@vendor.com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Role</w:t>
      </w:r>
    </w:p>
    <w:p>
      <w:pPr>
        <w:pStyle w:val="Heading2"/>
        <w:spacing w:before="240" w:after="120"/>
        <w:ind w:left="0"/>
      </w:pPr>
      <w:r>
        <w:t>9.3 Training Completion</w:t>
      </w:r>
    </w:p>
    <w:p>
      <w:r>
        <w:rPr>
          <w:rFonts w:ascii="Calibri" w:hAnsi="Calibri"/>
          <w:sz w:val="24"/>
        </w:rPr>
        <w:t>Training sessions completed during implementation are documented in the Training Program section.</w:t>
      </w:r>
    </w:p>
    <w:p>
      <w:pPr>
        <w:pStyle w:val="Heading1"/>
        <w:spacing w:before="160" w:after="120"/>
        <w:ind w:left="0"/>
      </w:pPr>
      <w:r>
        <w:t>10 Training Program</w:t>
      </w:r>
    </w:p>
    <w:p>
      <w:r>
        <w:rPr>
          <w:rFonts w:ascii="Calibri" w:hAnsi="Calibri"/>
          <w:sz w:val="24"/>
        </w:rPr>
        <w:t>This section documents the training program for the Sentinel SIEM solution.</w:t>
      </w:r>
    </w:p>
    <w:p>
      <w:pPr>
        <w:pStyle w:val="Heading2"/>
        <w:spacing w:before="240" w:after="120"/>
        <w:ind w:left="0"/>
      </w:pPr>
      <w:r>
        <w:t>10.1 Training Overview</w:t>
      </w:r>
    </w:p>
    <w:p>
      <w:r>
        <w:rPr>
          <w:rFonts w:ascii="Calibri" w:hAnsi="Calibri"/>
          <w:sz w:val="24"/>
        </w:rPr>
        <w:t>Training ensures all user groups achieve competency with the Sentinel solution.</w:t>
      </w:r>
    </w:p>
    <w:p>
      <w:pPr>
        <w:pStyle w:val="Heading2"/>
        <w:spacing w:before="240" w:after="120"/>
        <w:ind w:left="0"/>
      </w:pPr>
      <w:r>
        <w:t>10.2 Training Schedule</w:t>
      </w:r>
    </w:p>
    <w:p>
      <w:r>
        <w:rPr>
          <w:rFonts w:ascii="Calibri" w:hAnsi="Calibri"/>
          <w:sz w:val="24"/>
        </w:rPr>
        <w:t>The following training sessions are delivered during the implementation to ensure all team members achieve competency with the Sentinel SIEM platform.</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Audience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Hours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Fundamentals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Analysts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basics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T2</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KQL Query Development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Analysts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 complete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Playbook Operations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Automation Team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 Apps basics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T4</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Admins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admin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T5</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Hunting</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T2 complete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Id And Module Name</w:t>
      </w:r>
    </w:p>
    <w:p>
      <w:pPr>
        <w:pStyle w:val="Heading2"/>
        <w:spacing w:before="240" w:after="120"/>
        <w:ind w:left="0"/>
      </w:pPr>
      <w:r>
        <w:t>10.3 Training Materials</w:t>
      </w:r>
    </w:p>
    <w:p>
      <w:r>
        <w:rPr>
          <w:rFonts w:ascii="Calibri" w:hAnsi="Calibri"/>
          <w:sz w:val="24"/>
        </w:rPr>
        <w:t>The following training materials are provided:</w:t>
      </w:r>
    </w:p>
    <w:p>
      <w:pPr>
        <w:spacing w:after="80"/>
        <w:ind w:left="360"/>
      </w:pPr>
      <w:r>
        <w:rPr>
          <w:rFonts w:ascii="Calibri" w:hAnsi="Calibri"/>
          <w:sz w:val="24"/>
        </w:rPr>
        <w:t xml:space="preserve">• </w:t>
      </w:r>
      <w:r>
        <w:rPr>
          <w:rFonts w:ascii="Calibri" w:hAnsi="Calibri"/>
          <w:b/>
          <w:sz w:val="24"/>
        </w:rPr>
        <w:t>SOC Analyst Guide:</w:t>
      </w:r>
      <w:r>
        <w:rPr>
          <w:rFonts w:ascii="Calibri" w:hAnsi="Calibri"/>
          <w:sz w:val="24"/>
        </w:rPr>
        <w:t xml:space="preserve"> `/delivery/training/soc-analyst-guide.pdf`</w:t>
      </w:r>
    </w:p>
    <w:p>
      <w:pPr>
        <w:spacing w:after="80"/>
        <w:ind w:left="360"/>
      </w:pPr>
      <w:r>
        <w:rPr>
          <w:rFonts w:ascii="Calibri" w:hAnsi="Calibri"/>
          <w:sz w:val="24"/>
        </w:rPr>
        <w:t xml:space="preserve">• </w:t>
      </w:r>
      <w:r>
        <w:rPr>
          <w:rFonts w:ascii="Calibri" w:hAnsi="Calibri"/>
          <w:b/>
          <w:sz w:val="24"/>
        </w:rPr>
        <w:t>KQL Reference:</w:t>
      </w:r>
      <w:r>
        <w:rPr>
          <w:rFonts w:ascii="Calibri" w:hAnsi="Calibri"/>
          <w:sz w:val="24"/>
        </w:rPr>
        <w:t xml:space="preserve"> `/delivery/training/kql-reference.pdf`</w:t>
      </w:r>
    </w:p>
    <w:p>
      <w:pPr>
        <w:spacing w:after="80"/>
        <w:ind w:left="360"/>
      </w:pPr>
      <w:r>
        <w:rPr>
          <w:rFonts w:ascii="Calibri" w:hAnsi="Calibri"/>
          <w:sz w:val="24"/>
        </w:rPr>
        <w:t xml:space="preserve">• </w:t>
      </w:r>
      <w:r>
        <w:rPr>
          <w:rFonts w:ascii="Calibri" w:hAnsi="Calibri"/>
          <w:b/>
          <w:sz w:val="24"/>
        </w:rPr>
        <w:t>Playbook Operations:</w:t>
      </w:r>
      <w:r>
        <w:rPr>
          <w:rFonts w:ascii="Calibri" w:hAnsi="Calibri"/>
          <w:sz w:val="24"/>
        </w:rPr>
        <w:t xml:space="preserve"> `/delivery/training/playbook-operations.pdf`</w:t>
      </w:r>
    </w:p>
    <w:p>
      <w:pPr>
        <w:spacing w:after="80"/>
        <w:ind w:left="360"/>
      </w:pPr>
      <w:r>
        <w:rPr>
          <w:rFonts w:ascii="Calibri" w:hAnsi="Calibri"/>
          <w:sz w:val="24"/>
        </w:rPr>
        <w:t xml:space="preserve">• </w:t>
      </w:r>
      <w:r>
        <w:rPr>
          <w:rFonts w:ascii="Calibri" w:hAnsi="Calibri"/>
          <w:b/>
          <w:sz w:val="24"/>
        </w:rPr>
        <w:t>Admin Guide:</w:t>
      </w:r>
      <w:r>
        <w:rPr>
          <w:rFonts w:ascii="Calibri" w:hAnsi="Calibri"/>
          <w:sz w:val="24"/>
        </w:rPr>
        <w:t xml:space="preserve"> `/delivery/training/admin-guide.pdf`</w:t>
      </w:r>
    </w:p>
    <w:p>
      <w:pPr>
        <w:pStyle w:val="Heading2"/>
        <w:spacing w:before="240" w:after="120"/>
        <w:ind w:left="0"/>
      </w:pPr>
      <w:r>
        <w:t>10.4 Training Validation</w:t>
      </w:r>
    </w:p>
    <w:p>
      <w:r>
        <w:rPr>
          <w:rFonts w:ascii="Calibri" w:hAnsi="Calibri"/>
          <w:sz w:val="24"/>
        </w:rPr>
        <w:t>Training completion is validated through:</w:t>
      </w:r>
    </w:p>
    <w:p>
      <w:pPr>
        <w:spacing w:after="80"/>
        <w:ind w:left="360"/>
      </w:pPr>
      <w:r>
        <w:rPr>
          <w:rFonts w:ascii="Calibri" w:hAnsi="Calibri"/>
          <w:sz w:val="24"/>
        </w:rPr>
        <w:t xml:space="preserve">• </w:t>
      </w:r>
      <w:r>
        <w:rPr>
          <w:rFonts w:ascii="Calibri" w:hAnsi="Calibri"/>
          <w:sz w:val="24"/>
        </w:rPr>
        <w:t>Hands-on lab exercises</w:t>
      </w:r>
    </w:p>
    <w:p>
      <w:pPr>
        <w:spacing w:after="80"/>
        <w:ind w:left="360"/>
      </w:pPr>
      <w:r>
        <w:rPr>
          <w:rFonts w:ascii="Calibri" w:hAnsi="Calibri"/>
          <w:sz w:val="24"/>
        </w:rPr>
        <w:t xml:space="preserve">• </w:t>
      </w:r>
      <w:r>
        <w:rPr>
          <w:rFonts w:ascii="Calibri" w:hAnsi="Calibri"/>
          <w:sz w:val="24"/>
        </w:rPr>
        <w:t>Practical assessments</w:t>
      </w:r>
    </w:p>
    <w:p>
      <w:pPr>
        <w:spacing w:after="80"/>
        <w:ind w:left="360"/>
      </w:pPr>
      <w:r>
        <w:rPr>
          <w:rFonts w:ascii="Calibri" w:hAnsi="Calibri"/>
          <w:sz w:val="24"/>
        </w:rPr>
        <w:t xml:space="preserve">• </w:t>
      </w:r>
      <w:r>
        <w:rPr>
          <w:rFonts w:ascii="Calibri" w:hAnsi="Calibri"/>
          <w:sz w:val="24"/>
        </w:rPr>
        <w:t>Knowledge checks</w:t>
      </w:r>
    </w:p>
    <w:p>
      <w:pPr>
        <w:spacing w:after="80"/>
        <w:ind w:left="360"/>
      </w:pPr>
      <w:r>
        <w:rPr>
          <w:rFonts w:ascii="Calibri" w:hAnsi="Calibri"/>
          <w:sz w:val="24"/>
        </w:rPr>
        <w:t xml:space="preserve">• </w:t>
      </w:r>
      <w:r>
        <w:rPr>
          <w:rFonts w:ascii="Calibri" w:hAnsi="Calibri"/>
          <w:sz w:val="24"/>
        </w:rPr>
        <w:t>Certification tracking</w:t>
      </w:r>
    </w:p>
    <w:p>
      <w:pPr>
        <w:pStyle w:val="Heading1"/>
        <w:spacing w:before="160" w:after="120"/>
        <w:ind w:left="0"/>
      </w:pPr>
      <w:r>
        <w:t>11 Appendices</w:t>
      </w:r>
    </w:p>
    <w:p>
      <w:pPr>
        <w:pStyle w:val="Heading2"/>
        <w:spacing w:before="240" w:after="120"/>
        <w:ind w:left="0"/>
      </w:pPr>
      <w:r>
        <w:t>11.1 Appendix A: Deployment Checklist</w:t>
      </w:r>
    </w:p>
    <w:p>
      <w:pPr>
        <w:pStyle w:val="Heading3"/>
        <w:spacing w:before="160" w:after="120"/>
        <w:ind w:left="0"/>
      </w:pPr>
      <w:r>
        <w:t>11.1.1 Pre-Deployment</w:t>
      </w:r>
    </w:p>
    <w:p>
      <w:pPr>
        <w:spacing w:after="80"/>
        <w:ind w:left="360"/>
      </w:pPr>
      <w:r>
        <w:rPr>
          <w:rFonts w:ascii="Calibri" w:hAnsi="Calibri"/>
          <w:sz w:val="24"/>
        </w:rPr>
        <w:t xml:space="preserve">• </w:t>
      </w:r>
      <w:r>
        <w:rPr>
          <w:rFonts w:ascii="Calibri" w:hAnsi="Calibri"/>
          <w:sz w:val="24"/>
        </w:rPr>
        <w:t>[ ] Azure subscription access confirmed</w:t>
      </w:r>
    </w:p>
    <w:p>
      <w:pPr>
        <w:spacing w:after="80"/>
        <w:ind w:left="360"/>
      </w:pPr>
      <w:r>
        <w:rPr>
          <w:rFonts w:ascii="Calibri" w:hAnsi="Calibri"/>
          <w:sz w:val="24"/>
        </w:rPr>
        <w:t xml:space="preserve">• </w:t>
      </w:r>
      <w:r>
        <w:rPr>
          <w:rFonts w:ascii="Calibri" w:hAnsi="Calibri"/>
          <w:sz w:val="24"/>
        </w:rPr>
        <w:t>[ ] Required permissions assigned</w:t>
      </w:r>
    </w:p>
    <w:p>
      <w:pPr>
        <w:spacing w:after="80"/>
        <w:ind w:left="360"/>
      </w:pPr>
      <w:r>
        <w:rPr>
          <w:rFonts w:ascii="Calibri" w:hAnsi="Calibri"/>
          <w:sz w:val="24"/>
        </w:rPr>
        <w:t xml:space="preserve">• </w:t>
      </w:r>
      <w:r>
        <w:rPr>
          <w:rFonts w:ascii="Calibri" w:hAnsi="Calibri"/>
          <w:sz w:val="24"/>
        </w:rPr>
        <w:t>[ ] Service quotas verified</w:t>
      </w:r>
    </w:p>
    <w:p>
      <w:pPr>
        <w:spacing w:after="80"/>
        <w:ind w:left="360"/>
      </w:pPr>
      <w:r>
        <w:rPr>
          <w:rFonts w:ascii="Calibri" w:hAnsi="Calibri"/>
          <w:sz w:val="24"/>
        </w:rPr>
        <w:t xml:space="preserve">• </w:t>
      </w:r>
      <w:r>
        <w:rPr>
          <w:rFonts w:ascii="Calibri" w:hAnsi="Calibri"/>
          <w:sz w:val="24"/>
        </w:rPr>
        <w:t>[ ] Network connectivity tested</w:t>
      </w:r>
    </w:p>
    <w:p>
      <w:pPr>
        <w:spacing w:after="80"/>
        <w:ind w:left="360"/>
      </w:pPr>
      <w:r>
        <w:rPr>
          <w:rFonts w:ascii="Calibri" w:hAnsi="Calibri"/>
          <w:sz w:val="24"/>
        </w:rPr>
        <w:t xml:space="preserve">• </w:t>
      </w:r>
      <w:r>
        <w:rPr>
          <w:rFonts w:ascii="Calibri" w:hAnsi="Calibri"/>
          <w:sz w:val="24"/>
        </w:rPr>
        <w:t>[ ] Security approvals obtained</w:t>
      </w:r>
    </w:p>
    <w:p>
      <w:pPr>
        <w:pStyle w:val="Heading3"/>
        <w:spacing w:before="160" w:after="120"/>
        <w:ind w:left="0"/>
      </w:pPr>
      <w:r>
        <w:t>11.1.2 Deployment</w:t>
      </w:r>
    </w:p>
    <w:p>
      <w:pPr>
        <w:spacing w:after="80"/>
        <w:ind w:left="360"/>
      </w:pPr>
      <w:r>
        <w:rPr>
          <w:rFonts w:ascii="Calibri" w:hAnsi="Calibri"/>
          <w:sz w:val="24"/>
        </w:rPr>
        <w:t xml:space="preserve">• </w:t>
      </w:r>
      <w:r>
        <w:rPr>
          <w:rFonts w:ascii="Calibri" w:hAnsi="Calibri"/>
          <w:sz w:val="24"/>
        </w:rPr>
        <w:t>[ ] Resource group created</w:t>
      </w:r>
    </w:p>
    <w:p>
      <w:pPr>
        <w:spacing w:after="80"/>
        <w:ind w:left="360"/>
      </w:pPr>
      <w:r>
        <w:rPr>
          <w:rFonts w:ascii="Calibri" w:hAnsi="Calibri"/>
          <w:sz w:val="24"/>
        </w:rPr>
        <w:t xml:space="preserve">• </w:t>
      </w:r>
      <w:r>
        <w:rPr>
          <w:rFonts w:ascii="Calibri" w:hAnsi="Calibri"/>
          <w:sz w:val="24"/>
        </w:rPr>
        <w:t>[ ] Log Analytics workspace deployed</w:t>
      </w:r>
    </w:p>
    <w:p>
      <w:pPr>
        <w:spacing w:after="80"/>
        <w:ind w:left="360"/>
      </w:pPr>
      <w:r>
        <w:rPr>
          <w:rFonts w:ascii="Calibri" w:hAnsi="Calibri"/>
          <w:sz w:val="24"/>
        </w:rPr>
        <w:t xml:space="preserve">• </w:t>
      </w:r>
      <w:r>
        <w:rPr>
          <w:rFonts w:ascii="Calibri" w:hAnsi="Calibri"/>
          <w:sz w:val="24"/>
        </w:rPr>
        <w:t>[ ] Sentinel enabled</w:t>
      </w:r>
    </w:p>
    <w:p>
      <w:pPr>
        <w:spacing w:after="80"/>
        <w:ind w:left="360"/>
      </w:pPr>
      <w:r>
        <w:rPr>
          <w:rFonts w:ascii="Calibri" w:hAnsi="Calibri"/>
          <w:sz w:val="24"/>
        </w:rPr>
        <w:t xml:space="preserve">• </w:t>
      </w:r>
      <w:r>
        <w:rPr>
          <w:rFonts w:ascii="Calibri" w:hAnsi="Calibri"/>
          <w:sz w:val="24"/>
        </w:rPr>
        <w:t>[ ] Data connectors configured</w:t>
      </w:r>
    </w:p>
    <w:p>
      <w:pPr>
        <w:spacing w:after="80"/>
        <w:ind w:left="360"/>
      </w:pPr>
      <w:r>
        <w:rPr>
          <w:rFonts w:ascii="Calibri" w:hAnsi="Calibri"/>
          <w:sz w:val="24"/>
        </w:rPr>
        <w:t xml:space="preserve">• </w:t>
      </w:r>
      <w:r>
        <w:rPr>
          <w:rFonts w:ascii="Calibri" w:hAnsi="Calibri"/>
          <w:sz w:val="24"/>
        </w:rPr>
        <w:t>[ ] Analytics rules deployed</w:t>
      </w:r>
    </w:p>
    <w:p>
      <w:pPr>
        <w:spacing w:after="80"/>
        <w:ind w:left="360"/>
      </w:pPr>
      <w:r>
        <w:rPr>
          <w:rFonts w:ascii="Calibri" w:hAnsi="Calibri"/>
          <w:sz w:val="24"/>
        </w:rPr>
        <w:t xml:space="preserve">• </w:t>
      </w:r>
      <w:r>
        <w:rPr>
          <w:rFonts w:ascii="Calibri" w:hAnsi="Calibri"/>
          <w:sz w:val="24"/>
        </w:rPr>
        <w:t>[ ] Playbooks created and tested</w:t>
      </w:r>
    </w:p>
    <w:p>
      <w:pPr>
        <w:pStyle w:val="Heading3"/>
        <w:spacing w:before="160" w:after="120"/>
        <w:ind w:left="0"/>
      </w:pPr>
      <w:r>
        <w:t>11.1.3 Post-Deployment</w:t>
      </w:r>
    </w:p>
    <w:p>
      <w:pPr>
        <w:spacing w:after="80"/>
        <w:ind w:left="360"/>
      </w:pPr>
      <w:r>
        <w:rPr>
          <w:rFonts w:ascii="Calibri" w:hAnsi="Calibri"/>
          <w:sz w:val="24"/>
        </w:rPr>
        <w:t xml:space="preserve">• </w:t>
      </w:r>
      <w:r>
        <w:rPr>
          <w:rFonts w:ascii="Calibri" w:hAnsi="Calibri"/>
          <w:sz w:val="24"/>
        </w:rPr>
        <w:t>[ ] Functional testing complete</w:t>
      </w:r>
    </w:p>
    <w:p>
      <w:pPr>
        <w:spacing w:after="80"/>
        <w:ind w:left="360"/>
      </w:pPr>
      <w:r>
        <w:rPr>
          <w:rFonts w:ascii="Calibri" w:hAnsi="Calibri"/>
          <w:sz w:val="24"/>
        </w:rPr>
        <w:t xml:space="preserve">• </w:t>
      </w:r>
      <w:r>
        <w:rPr>
          <w:rFonts w:ascii="Calibri" w:hAnsi="Calibri"/>
          <w:sz w:val="24"/>
        </w:rPr>
        <w:t>[ ] Security validation complete</w:t>
      </w:r>
    </w:p>
    <w:p>
      <w:pPr>
        <w:spacing w:after="80"/>
        <w:ind w:left="360"/>
      </w:pPr>
      <w:r>
        <w:rPr>
          <w:rFonts w:ascii="Calibri" w:hAnsi="Calibri"/>
          <w:sz w:val="24"/>
        </w:rPr>
        <w:t xml:space="preserve">• </w:t>
      </w:r>
      <w:r>
        <w:rPr>
          <w:rFonts w:ascii="Calibri" w:hAnsi="Calibri"/>
          <w:sz w:val="24"/>
        </w:rPr>
        <w:t>[ ] Training delivered</w:t>
      </w:r>
    </w:p>
    <w:p>
      <w:pPr>
        <w:spacing w:after="80"/>
        <w:ind w:left="360"/>
      </w:pPr>
      <w:r>
        <w:rPr>
          <w:rFonts w:ascii="Calibri" w:hAnsi="Calibri"/>
          <w:sz w:val="24"/>
        </w:rPr>
        <w:t xml:space="preserve">• </w:t>
      </w:r>
      <w:r>
        <w:rPr>
          <w:rFonts w:ascii="Calibri" w:hAnsi="Calibri"/>
          <w:sz w:val="24"/>
        </w:rPr>
        <w:t>[ ] Documentation handed over</w:t>
      </w:r>
    </w:p>
    <w:p>
      <w:pPr>
        <w:spacing w:after="80"/>
        <w:ind w:left="360"/>
      </w:pPr>
      <w:r>
        <w:rPr>
          <w:rFonts w:ascii="Calibri" w:hAnsi="Calibri"/>
          <w:sz w:val="24"/>
        </w:rPr>
        <w:t xml:space="preserve">• </w:t>
      </w:r>
      <w:r>
        <w:rPr>
          <w:rFonts w:ascii="Calibri" w:hAnsi="Calibri"/>
          <w:sz w:val="24"/>
        </w:rPr>
        <w:t>[ ] Support transition complete</w:t>
      </w:r>
    </w:p>
    <w:p>
      <w:pPr>
        <w:pStyle w:val="Heading2"/>
        <w:spacing w:before="240" w:after="120"/>
        <w:ind w:left="0"/>
      </w:pPr>
      <w:r>
        <w:t>11.2 Appendix B: Configuration Reference</w:t>
      </w:r>
    </w:p>
    <w:p>
      <w:pPr>
        <w:pStyle w:val="Heading3"/>
        <w:spacing w:before="160" w:after="120"/>
        <w:ind w:left="0"/>
      </w:pPr>
      <w:r>
        <w:t>11.2.1 Resource Naming Convention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Group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rg-{solution}-{env}-{region}-{###}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rg-sentinel-prod-eus-001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Analytics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log-{solution}-{env}-{###}</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log-sentinel-prod-001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 App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la-{solution}-{function}-{###}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la-sentinel-enrich-ip-001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 Vault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kv-{solution}-{env}-{###}</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kv-sentinel-prod-001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Naming Conventions</w:t>
      </w:r>
    </w:p>
    <w:p>
      <w:pPr>
        <w:pStyle w:val="Heading3"/>
        <w:spacing w:before="160" w:after="120"/>
        <w:ind w:left="0"/>
      </w:pPr>
      <w:r>
        <w:t>11.2.2 Environment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Production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Retention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Daily Cap (GB)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Commitment 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500GB/day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Archive Enabled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Parameter</w:t>
      </w:r>
    </w:p>
    <w:p>
      <w:pPr>
        <w:pStyle w:val="Heading2"/>
        <w:spacing w:before="240" w:after="120"/>
        <w:ind w:left="0"/>
      </w:pPr>
      <w:r>
        <w:t>11.3 Appendix C: Troubleshooting Guide</w:t>
      </w:r>
    </w:p>
    <w:p>
      <w:pPr>
        <w:pStyle w:val="Heading3"/>
        <w:spacing w:before="160" w:after="120"/>
        <w:ind w:left="0"/>
      </w:pPr>
      <w:r>
        <w:t>11.3.1 Common Issues</w:t>
      </w:r>
    </w:p>
    <w:p>
      <w:r>
        <w:rPr>
          <w:rFonts w:ascii="Calibri" w:hAnsi="Calibri"/>
          <w:b/>
          <w:sz w:val="24"/>
        </w:rPr>
        <w:t>Issue: Data connector not ingesting</w:t>
      </w:r>
    </w:p>
    <w:p>
      <w:pPr>
        <w:spacing w:after="80"/>
        <w:ind w:left="360"/>
      </w:pPr>
      <w:r>
        <w:rPr>
          <w:rFonts w:ascii="Calibri" w:hAnsi="Calibri"/>
          <w:sz w:val="24"/>
        </w:rPr>
        <w:t xml:space="preserve">• </w:t>
      </w:r>
      <w:r>
        <w:rPr>
          <w:rFonts w:ascii="Calibri" w:hAnsi="Calibri"/>
          <w:sz w:val="24"/>
        </w:rPr>
        <w:t>Verify connector permissions</w:t>
      </w:r>
    </w:p>
    <w:p>
      <w:pPr>
        <w:spacing w:after="80"/>
        <w:ind w:left="360"/>
      </w:pPr>
      <w:r>
        <w:rPr>
          <w:rFonts w:ascii="Calibri" w:hAnsi="Calibri"/>
          <w:sz w:val="24"/>
        </w:rPr>
        <w:t xml:space="preserve">• </w:t>
      </w:r>
      <w:r>
        <w:rPr>
          <w:rFonts w:ascii="Calibri" w:hAnsi="Calibri"/>
          <w:sz w:val="24"/>
        </w:rPr>
        <w:t>Check diagnostic settings</w:t>
      </w:r>
    </w:p>
    <w:p>
      <w:pPr>
        <w:spacing w:after="80"/>
        <w:ind w:left="360"/>
      </w:pPr>
      <w:r>
        <w:rPr>
          <w:rFonts w:ascii="Calibri" w:hAnsi="Calibri"/>
          <w:sz w:val="24"/>
        </w:rPr>
        <w:t xml:space="preserve">• </w:t>
      </w:r>
      <w:r>
        <w:rPr>
          <w:rFonts w:ascii="Calibri" w:hAnsi="Calibri"/>
          <w:sz w:val="24"/>
        </w:rPr>
        <w:t>Review connector status in Azure Portal</w:t>
      </w:r>
    </w:p>
    <w:p>
      <w:r>
        <w:rPr>
          <w:rFonts w:ascii="Calibri" w:hAnsi="Calibri"/>
          <w:b/>
          <w:sz w:val="24"/>
        </w:rPr>
        <w:t>Issue: Analytics rule not firing</w:t>
      </w:r>
    </w:p>
    <w:p>
      <w:pPr>
        <w:spacing w:after="80"/>
        <w:ind w:left="360"/>
      </w:pPr>
      <w:r>
        <w:rPr>
          <w:rFonts w:ascii="Calibri" w:hAnsi="Calibri"/>
          <w:sz w:val="24"/>
        </w:rPr>
        <w:t xml:space="preserve">• </w:t>
      </w:r>
      <w:r>
        <w:rPr>
          <w:rFonts w:ascii="Calibri" w:hAnsi="Calibri"/>
          <w:sz w:val="24"/>
        </w:rPr>
        <w:t>Validate KQL query syntax</w:t>
      </w:r>
    </w:p>
    <w:p>
      <w:pPr>
        <w:spacing w:after="80"/>
        <w:ind w:left="360"/>
      </w:pPr>
      <w:r>
        <w:rPr>
          <w:rFonts w:ascii="Calibri" w:hAnsi="Calibri"/>
          <w:sz w:val="24"/>
        </w:rPr>
        <w:t xml:space="preserve">• </w:t>
      </w:r>
      <w:r>
        <w:rPr>
          <w:rFonts w:ascii="Calibri" w:hAnsi="Calibri"/>
          <w:sz w:val="24"/>
        </w:rPr>
        <w:t>Check query time range</w:t>
      </w:r>
    </w:p>
    <w:p>
      <w:pPr>
        <w:spacing w:after="80"/>
        <w:ind w:left="360"/>
      </w:pPr>
      <w:r>
        <w:rPr>
          <w:rFonts w:ascii="Calibri" w:hAnsi="Calibri"/>
          <w:sz w:val="24"/>
        </w:rPr>
        <w:t xml:space="preserve">• </w:t>
      </w:r>
      <w:r>
        <w:rPr>
          <w:rFonts w:ascii="Calibri" w:hAnsi="Calibri"/>
          <w:sz w:val="24"/>
        </w:rPr>
        <w:t>Verify data exists in source table</w:t>
      </w:r>
    </w:p>
    <w:p>
      <w:r>
        <w:rPr>
          <w:rFonts w:ascii="Calibri" w:hAnsi="Calibri"/>
          <w:b/>
          <w:sz w:val="24"/>
        </w:rPr>
        <w:t>Issue: Playbook not executing</w:t>
      </w:r>
    </w:p>
    <w:p>
      <w:pPr>
        <w:spacing w:after="80"/>
        <w:ind w:left="360"/>
      </w:pPr>
      <w:r>
        <w:rPr>
          <w:rFonts w:ascii="Calibri" w:hAnsi="Calibri"/>
          <w:sz w:val="24"/>
        </w:rPr>
        <w:t xml:space="preserve">• </w:t>
      </w:r>
      <w:r>
        <w:rPr>
          <w:rFonts w:ascii="Calibri" w:hAnsi="Calibri"/>
          <w:sz w:val="24"/>
        </w:rPr>
        <w:t>Check Logic App run history</w:t>
      </w:r>
    </w:p>
    <w:p>
      <w:pPr>
        <w:spacing w:after="80"/>
        <w:ind w:left="360"/>
      </w:pPr>
      <w:r>
        <w:rPr>
          <w:rFonts w:ascii="Calibri" w:hAnsi="Calibri"/>
          <w:sz w:val="24"/>
        </w:rPr>
        <w:t xml:space="preserve">• </w:t>
      </w:r>
      <w:r>
        <w:rPr>
          <w:rFonts w:ascii="Calibri" w:hAnsi="Calibri"/>
          <w:sz w:val="24"/>
        </w:rPr>
        <w:t>Verify API connections</w:t>
      </w:r>
    </w:p>
    <w:p>
      <w:pPr>
        <w:spacing w:after="80"/>
        <w:ind w:left="360"/>
      </w:pPr>
      <w:r>
        <w:rPr>
          <w:rFonts w:ascii="Calibri" w:hAnsi="Calibri"/>
          <w:sz w:val="24"/>
        </w:rPr>
        <w:t xml:space="preserve">• </w:t>
      </w:r>
      <w:r>
        <w:rPr>
          <w:rFonts w:ascii="Calibri" w:hAnsi="Calibri"/>
          <w:sz w:val="24"/>
        </w:rPr>
        <w:t>Review trigger conditions</w:t>
      </w:r>
    </w:p>
    <w:p>
      <w:r>
        <w:rPr>
          <w:rFonts w:ascii="Calibri" w:hAnsi="Calibri"/>
          <w:b/>
          <w:sz w:val="24"/>
        </w:rPr>
        <w:t>Document Version</w:t>
      </w:r>
      <w:r>
        <w:rPr>
          <w:rFonts w:ascii="Calibri" w:hAnsi="Calibri"/>
          <w:sz w:val="24"/>
        </w:rPr>
        <w:t>: 2.0</w:t>
      </w:r>
    </w:p>
    <w:p>
      <w:r>
        <w:rPr>
          <w:rFonts w:ascii="Calibri" w:hAnsi="Calibri"/>
          <w:b/>
          <w:sz w:val="24"/>
        </w:rPr>
        <w:t>Last Updated</w:t>
      </w:r>
      <w:r>
        <w:rPr>
          <w:rFonts w:ascii="Calibri" w:hAnsi="Calibri"/>
          <w:sz w:val="24"/>
        </w:rPr>
        <w:t>: [DATE]</w:t>
      </w:r>
    </w:p>
    <w:p>
      <w:r>
        <w:rPr>
          <w:rFonts w:ascii="Calibri" w:hAnsi="Calibri"/>
          <w:b/>
          <w:sz w:val="24"/>
        </w:rPr>
        <w:t>Prepared By</w:t>
      </w:r>
      <w:r>
        <w:rPr>
          <w:rFonts w:ascii="Calibri" w:hAnsi="Calibri"/>
          <w:sz w:val="24"/>
        </w:rPr>
        <w:t>: Implementation Team</w:t>
      </w:r>
    </w:p>
    <w:p>
      <w:r>
        <w:rPr>
          <w:rFonts w:ascii="Calibri" w:hAnsi="Calibri"/>
          <w:b/>
          <w:sz w:val="24"/>
        </w:rPr>
        <w:t>Review Status</w:t>
      </w:r>
      <w:r>
        <w:rPr>
          <w:rFonts w:ascii="Calibri" w:hAnsi="Calibri"/>
          <w:sz w:val="24"/>
        </w:rPr>
        <w:t>: Approved</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Azure Sentinel SIEM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