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r>
        <w:rPr>
          <w:rFonts w:ascii="Calibri" w:hAnsi="Calibri"/>
          <w:sz w:val="24"/>
        </w:rPr>
        <w:t>This section outlines all project deliverables and key milestones that will be produced throughout the engagement, along with target dates and acceptance criteria.</w:t>
      </w:r>
    </w:p>
    <w:p>
      <w:pPr>
        <w:pStyle w:val="Heading2"/>
        <w:spacing w:before="240" w:after="120"/>
        <w:ind w:left="0"/>
      </w:pPr>
      <w:r>
        <w:t>4.1 Deliverables</w:t>
      </w:r>
    </w:p>
    <w:p>
      <w:r>
        <w:rPr>
          <w:rFonts w:ascii="Calibri" w:hAnsi="Calibri"/>
          <w:sz w:val="24"/>
        </w:rPr>
        <w:t>The following table summarizes the key deliverables for this engagement, including documentation, training, and operational artifacts that will be handed over to the Client team:</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following milestones represent key checkpoints throughout the project lifecycle, providing clear targets for progress tracking and stakeholder communication: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matrix defines the responsibility assignments for key project activities, clarifying who is Responsible, Accountable, Consulted, and Informed for each task:</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following diagram illustrates the high-level architecture for the proposed solution, showing the key components, integrations, and data 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p>
      <w:r>
        <w:rPr>
          <w:rFonts w:ascii="Calibri" w:hAnsi="Calibri"/>
          <w:sz w:val="24"/>
        </w:rPr>
        <w:t>The following table outlines the recommended tooling stack for this implementation, along with alternative options that may be considered based on Client preferences or existing investments: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The following table provides a comprehensive overview of the total investment required for this engagement, broken down by cost category and displayed across a 3-year period. 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