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77777777" w:rsidR="00517E5A" w:rsidRDefault="00000000">
      <w:pPr>
        <w:pStyle w:val="Title"/>
        <w:jc w:val="center"/>
      </w:pPr>
      <w:r>
        <w:t>Statement of Work</w:t>
      </w:r>
    </w:p>
    <w:p w14:paraId="5F4CFF81" w14:textId="77777777" w:rsidR="00517E5A" w:rsidRDefault="00000000">
      <w:pPr>
        <w:jc w:val="center"/>
      </w:pPr>
      <w:r>
        <w:rPr>
          <w:b/>
          <w:color w:val="5B6770"/>
          <w:sz w:val="40"/>
        </w:rPr>
        <w:t>NVIDIA - DGX SuperPOD AI Infrastructure Implementation</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[Client Name]</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November 22, 2025</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Your Consulting Company</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[Consultant 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OPP-2025-001</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This Statement of Work (SOW) defines the scope, deliverables, roles, and terms for implementing an NVIDIA DGX SuperPOD AI Infrastructure for [Client Name]. This engagement will deliver enterprise-scale AI supercomputing capabilities through 8x DGX H100 systems with 64 H100 GPUs, NVIDIA Quantum-2 InfiniBand networking, and Base Command platform to enable large-scale model training and accelerate AI innovation.</w:t>
      </w:r>
    </w:p>
    <w:p>
      <w:r>
        <w:rPr>
          <w:rFonts w:ascii="Calibri" w:hAnsi="Calibri"/>
          <w:b/>
          <w:sz w:val="24"/>
        </w:rPr>
        <w:t>Project Duration:</w:t>
      </w:r>
      <w:r>
        <w:rPr>
          <w:rFonts w:ascii="Calibri" w:hAnsi="Calibri"/>
          <w:sz w:val="24"/>
        </w:rPr>
        <w:t xml:space="preserve"> [X] months</w:t>
      </w:r>
    </w:p>
    <w:p>
      <w:pPr>
        <w:pStyle w:val="Heading1"/>
        <w:spacing w:before="160" w:after="120"/>
        <w:ind w:left="0"/>
      </w:pPr>
      <w:r>
        <w:t>2 Background &amp; Objectives</w:t>
      </w:r>
    </w:p>
    <w:p>
      <w:pPr>
        <w:pStyle w:val="Heading2"/>
        <w:spacing w:before="240" w:after="120"/>
        <w:ind w:left="0"/>
      </w:pPr>
      <w:r>
        <w:t>2.1 Current State</w:t>
      </w:r>
    </w:p>
    <w:p>
      <w:r>
        <w:rPr>
          <w:rFonts w:ascii="Calibri" w:hAnsi="Calibri"/>
          <w:sz w:val="24"/>
        </w:rPr>
        <w:t>[Client Name] currently faces significant challenges in AI model development and training:</w:t>
      </w:r>
    </w:p>
    <w:p>
      <w:pPr>
        <w:spacing w:after="80"/>
        <w:ind w:left="360"/>
      </w:pPr>
      <w:r>
        <w:rPr>
          <w:rFonts w:ascii="Calibri" w:hAnsi="Calibri"/>
          <w:sz w:val="24"/>
        </w:rPr>
        <w:t xml:space="preserve">• </w:t>
      </w:r>
      <w:r>
        <w:rPr>
          <w:rFonts w:ascii="Calibri" w:hAnsi="Calibri"/>
          <w:b/>
          <w:sz w:val="24"/>
        </w:rPr>
        <w:t>Limited GPU Resources:</w:t>
      </w:r>
      <w:r>
        <w:rPr>
          <w:rFonts w:ascii="Calibri" w:hAnsi="Calibri"/>
          <w:sz w:val="24"/>
        </w:rPr>
        <w:t xml:space="preserve"> Reliance on cloud GPU instances (AWS p4d.24xlarge) with escalating costs of $2.25M annually</w:t>
      </w:r>
    </w:p>
    <w:p>
      <w:pPr>
        <w:spacing w:after="80"/>
        <w:ind w:left="360"/>
      </w:pPr>
      <w:r>
        <w:rPr>
          <w:rFonts w:ascii="Calibri" w:hAnsi="Calibri"/>
          <w:sz w:val="24"/>
        </w:rPr>
        <w:t xml:space="preserve">• </w:t>
      </w:r>
      <w:r>
        <w:rPr>
          <w:rFonts w:ascii="Calibri" w:hAnsi="Calibri"/>
          <w:b/>
          <w:sz w:val="24"/>
        </w:rPr>
        <w:t>Training Bottlenecks:</w:t>
      </w:r>
      <w:r>
        <w:rPr>
          <w:rFonts w:ascii="Calibri" w:hAnsi="Calibri"/>
          <w:sz w:val="24"/>
        </w:rPr>
        <w:t xml:space="preserve"> Large language models (100B+ parameters) take months to train, delaying time-to-market</w:t>
      </w:r>
    </w:p>
    <w:p>
      <w:pPr>
        <w:spacing w:after="80"/>
        <w:ind w:left="360"/>
      </w:pPr>
      <w:r>
        <w:rPr>
          <w:rFonts w:ascii="Calibri" w:hAnsi="Calibri"/>
          <w:sz w:val="24"/>
        </w:rPr>
        <w:t xml:space="preserve">• </w:t>
      </w:r>
      <w:r>
        <w:rPr>
          <w:rFonts w:ascii="Calibri" w:hAnsi="Calibri"/>
          <w:b/>
          <w:sz w:val="24"/>
        </w:rPr>
        <w:t>Resource Contention:</w:t>
      </w:r>
      <w:r>
        <w:rPr>
          <w:rFonts w:ascii="Calibri" w:hAnsi="Calibri"/>
          <w:sz w:val="24"/>
        </w:rPr>
        <w:t xml:space="preserve"> 50+ data scientists compete for limited GPU resources, reducing productivity</w:t>
      </w:r>
    </w:p>
    <w:p>
      <w:pPr>
        <w:spacing w:after="80"/>
        <w:ind w:left="360"/>
      </w:pPr>
      <w:r>
        <w:rPr>
          <w:rFonts w:ascii="Calibri" w:hAnsi="Calibri"/>
          <w:sz w:val="24"/>
        </w:rPr>
        <w:t xml:space="preserve">• </w:t>
      </w:r>
      <w:r>
        <w:rPr>
          <w:rFonts w:ascii="Calibri" w:hAnsi="Calibri"/>
          <w:b/>
          <w:sz w:val="24"/>
        </w:rPr>
        <w:t>Cloud Cost Spiral:</w:t>
      </w:r>
      <w:r>
        <w:rPr>
          <w:rFonts w:ascii="Calibri" w:hAnsi="Calibri"/>
          <w:sz w:val="24"/>
        </w:rPr>
        <w:t xml:space="preserve"> GPU compute costs increasing 40% year-over-year as model complexity grows</w:t>
      </w:r>
    </w:p>
    <w:p>
      <w:pPr>
        <w:spacing w:after="80"/>
        <w:ind w:left="360"/>
      </w:pPr>
      <w:r>
        <w:rPr>
          <w:rFonts w:ascii="Calibri" w:hAnsi="Calibri"/>
          <w:sz w:val="24"/>
        </w:rPr>
        <w:t xml:space="preserve">• </w:t>
      </w:r>
      <w:r>
        <w:rPr>
          <w:rFonts w:ascii="Calibri" w:hAnsi="Calibri"/>
          <w:b/>
          <w:sz w:val="24"/>
        </w:rPr>
        <w:t>Data Sovereignty:</w:t>
      </w:r>
      <w:r>
        <w:rPr>
          <w:rFonts w:ascii="Calibri" w:hAnsi="Calibri"/>
          <w:sz w:val="24"/>
        </w:rPr>
        <w:t xml:space="preserve"> Sensitive training data must remain on-premises for regulatory compliance</w:t>
      </w:r>
    </w:p>
    <w:p>
      <w:pPr>
        <w:pStyle w:val="Heading2"/>
        <w:spacing w:before="240" w:after="120"/>
        <w:ind w:left="0"/>
      </w:pPr>
      <w:r>
        <w:t>2.2 Business Objectives</w:t>
      </w:r>
    </w:p>
    <w:p>
      <w:pPr>
        <w:spacing w:after="80"/>
        <w:ind w:left="360"/>
      </w:pPr>
      <w:r>
        <w:rPr>
          <w:rFonts w:ascii="Calibri" w:hAnsi="Calibri"/>
          <w:sz w:val="24"/>
        </w:rPr>
        <w:t xml:space="preserve">• </w:t>
      </w:r>
      <w:r>
        <w:rPr>
          <w:rFonts w:ascii="Calibri" w:hAnsi="Calibri"/>
          <w:b/>
          <w:sz w:val="24"/>
        </w:rPr>
        <w:t>Deploy AI Supercomputer:</w:t>
      </w:r>
      <w:r>
        <w:rPr>
          <w:rFonts w:ascii="Calibri" w:hAnsi="Calibri"/>
          <w:sz w:val="24"/>
        </w:rPr>
        <w:t xml:space="preserve"> Implement 8x DGX H100 SuperPOD with 64 H100 GPUs delivering 32 petaFLOPS FP8 performance for large-scale model training</w:t>
      </w:r>
    </w:p>
    <w:p>
      <w:pPr>
        <w:spacing w:after="80"/>
        <w:ind w:left="360"/>
      </w:pPr>
      <w:r>
        <w:rPr>
          <w:rFonts w:ascii="Calibri" w:hAnsi="Calibri"/>
          <w:sz w:val="24"/>
        </w:rPr>
        <w:t xml:space="preserve">• </w:t>
      </w:r>
      <w:r>
        <w:rPr>
          <w:rFonts w:ascii="Calibri" w:hAnsi="Calibri"/>
          <w:b/>
          <w:sz w:val="24"/>
        </w:rPr>
        <w:t>Reduce Training Time:</w:t>
      </w:r>
      <w:r>
        <w:rPr>
          <w:rFonts w:ascii="Calibri" w:hAnsi="Calibri"/>
          <w:sz w:val="24"/>
        </w:rPr>
        <w:t xml:space="preserve"> Accelerate LLM training by 10x through multi-node distributed training with InfiniBand networking (GPT-3 scale models in weeks vs months)</w:t>
      </w:r>
    </w:p>
    <w:p>
      <w:pPr>
        <w:spacing w:after="80"/>
        <w:ind w:left="360"/>
      </w:pPr>
      <w:r>
        <w:rPr>
          <w:rFonts w:ascii="Calibri" w:hAnsi="Calibri"/>
          <w:sz w:val="24"/>
        </w:rPr>
        <w:t xml:space="preserve">• </w:t>
      </w:r>
      <w:r>
        <w:rPr>
          <w:rFonts w:ascii="Calibri" w:hAnsi="Calibri"/>
          <w:b/>
          <w:sz w:val="24"/>
        </w:rPr>
        <w:t>Lower AI Costs:</w:t>
      </w:r>
      <w:r>
        <w:rPr>
          <w:rFonts w:ascii="Calibri" w:hAnsi="Calibri"/>
          <w:sz w:val="24"/>
        </w:rPr>
        <w:t xml:space="preserve"> Reduce cloud GPU spending by 70% through owned infrastructure, achieving ROI in 2.3 years vs AWS baseline</w:t>
      </w:r>
    </w:p>
    <w:p>
      <w:pPr>
        <w:spacing w:after="80"/>
        <w:ind w:left="360"/>
      </w:pPr>
      <w:r>
        <w:rPr>
          <w:rFonts w:ascii="Calibri" w:hAnsi="Calibri"/>
          <w:sz w:val="24"/>
        </w:rPr>
        <w:t xml:space="preserve">• </w:t>
      </w:r>
      <w:r>
        <w:rPr>
          <w:rFonts w:ascii="Calibri" w:hAnsi="Calibri"/>
          <w:b/>
          <w:sz w:val="24"/>
        </w:rPr>
        <w:t>Scale Research Capacity:</w:t>
      </w:r>
      <w:r>
        <w:rPr>
          <w:rFonts w:ascii="Calibri" w:hAnsi="Calibri"/>
          <w:sz w:val="24"/>
        </w:rPr>
        <w:t xml:space="preserve"> Support 50+ data scientists with shared compute resources and eliminate GPU queueing delays</w:t>
      </w:r>
    </w:p>
    <w:p>
      <w:pPr>
        <w:spacing w:after="80"/>
        <w:ind w:left="360"/>
      </w:pPr>
      <w:r>
        <w:rPr>
          <w:rFonts w:ascii="Calibri" w:hAnsi="Calibri"/>
          <w:sz w:val="24"/>
        </w:rPr>
        <w:t xml:space="preserve">• </w:t>
      </w:r>
      <w:r>
        <w:rPr>
          <w:rFonts w:ascii="Calibri" w:hAnsi="Calibri"/>
          <w:b/>
          <w:sz w:val="24"/>
        </w:rPr>
        <w:t>Enable Production AI:</w:t>
      </w:r>
      <w:r>
        <w:rPr>
          <w:rFonts w:ascii="Calibri" w:hAnsi="Calibri"/>
          <w:sz w:val="24"/>
        </w:rPr>
        <w:t xml:space="preserve"> Deploy real-time inference capabilities for production AI applications serving millions of users</w:t>
      </w:r>
    </w:p>
    <w:p>
      <w:pPr>
        <w:spacing w:after="80"/>
        <w:ind w:left="360"/>
      </w:pPr>
      <w:r>
        <w:rPr>
          <w:rFonts w:ascii="Calibri" w:hAnsi="Calibri"/>
          <w:sz w:val="24"/>
        </w:rPr>
        <w:t xml:space="preserve">• </w:t>
      </w:r>
      <w:r>
        <w:rPr>
          <w:rFonts w:ascii="Calibri" w:hAnsi="Calibri"/>
          <w:b/>
          <w:sz w:val="24"/>
        </w:rPr>
        <w:t>Foundation for Innovation:</w:t>
      </w:r>
      <w:r>
        <w:rPr>
          <w:rFonts w:ascii="Calibri" w:hAnsi="Calibri"/>
          <w:sz w:val="24"/>
        </w:rPr>
        <w:t xml:space="preserve"> Establish foundation for next-generation AI products including generative AI, drug discovery, and autonomous systems</w:t>
      </w:r>
    </w:p>
    <w:p>
      <w:pPr>
        <w:pStyle w:val="Heading2"/>
        <w:spacing w:before="240" w:after="120"/>
        <w:ind w:left="0"/>
      </w:pPr>
      <w:r>
        <w:t>2.3 Success Metrics</w:t>
      </w:r>
    </w:p>
    <w:p>
      <w:pPr>
        <w:spacing w:after="80"/>
        <w:ind w:left="360"/>
      </w:pPr>
      <w:r>
        <w:rPr>
          <w:rFonts w:ascii="Calibri" w:hAnsi="Calibri"/>
          <w:sz w:val="24"/>
        </w:rPr>
        <w:t xml:space="preserve">• </w:t>
      </w:r>
      <w:r>
        <w:rPr>
          <w:rFonts w:ascii="Calibri" w:hAnsi="Calibri"/>
          <w:sz w:val="24"/>
        </w:rPr>
        <w:t>32 petaFLOPS FP8 AI performance operational and validated</w:t>
      </w:r>
    </w:p>
    <w:p>
      <w:pPr>
        <w:spacing w:after="80"/>
        <w:ind w:left="360"/>
      </w:pPr>
      <w:r>
        <w:rPr>
          <w:rFonts w:ascii="Calibri" w:hAnsi="Calibri"/>
          <w:sz w:val="24"/>
        </w:rPr>
        <w:t xml:space="preserve">• </w:t>
      </w:r>
      <w:r>
        <w:rPr>
          <w:rFonts w:ascii="Calibri" w:hAnsi="Calibri"/>
          <w:sz w:val="24"/>
        </w:rPr>
        <w:t>Train GPT-3 scale model (175B parameters) in &lt;90 days (vs 12+ months on cloud)</w:t>
      </w:r>
    </w:p>
    <w:p>
      <w:pPr>
        <w:spacing w:after="80"/>
        <w:ind w:left="360"/>
      </w:pPr>
      <w:r>
        <w:rPr>
          <w:rFonts w:ascii="Calibri" w:hAnsi="Calibri"/>
          <w:sz w:val="24"/>
        </w:rPr>
        <w:t xml:space="preserve">• </w:t>
      </w:r>
      <w:r>
        <w:rPr>
          <w:rFonts w:ascii="Calibri" w:hAnsi="Calibri"/>
          <w:sz w:val="24"/>
        </w:rPr>
        <w:t>Achieve 80%+ GPU utilization across research teams</w:t>
      </w:r>
    </w:p>
    <w:p>
      <w:pPr>
        <w:spacing w:after="80"/>
        <w:ind w:left="360"/>
      </w:pPr>
      <w:r>
        <w:rPr>
          <w:rFonts w:ascii="Calibri" w:hAnsi="Calibri"/>
          <w:sz w:val="24"/>
        </w:rPr>
        <w:t xml:space="preserve">• </w:t>
      </w:r>
      <w:r>
        <w:rPr>
          <w:rFonts w:ascii="Calibri" w:hAnsi="Calibri"/>
          <w:sz w:val="24"/>
        </w:rPr>
        <w:t>Reduce AI infrastructure costs by $1.5M annually vs cloud baseline</w:t>
      </w:r>
    </w:p>
    <w:p>
      <w:pPr>
        <w:spacing w:after="80"/>
        <w:ind w:left="360"/>
      </w:pPr>
      <w:r>
        <w:rPr>
          <w:rFonts w:ascii="Calibri" w:hAnsi="Calibri"/>
          <w:sz w:val="24"/>
        </w:rPr>
        <w:t xml:space="preserve">• </w:t>
      </w:r>
      <w:r>
        <w:rPr>
          <w:rFonts w:ascii="Calibri" w:hAnsi="Calibri"/>
          <w:sz w:val="24"/>
        </w:rPr>
        <w:t>Support 50+ concurrent AI training jobs with &lt;10% queueing time</w:t>
      </w:r>
    </w:p>
    <w:p>
      <w:pPr>
        <w:spacing w:after="80"/>
        <w:ind w:left="360"/>
      </w:pPr>
      <w:r>
        <w:rPr>
          <w:rFonts w:ascii="Calibri" w:hAnsi="Calibri"/>
          <w:sz w:val="24"/>
        </w:rPr>
        <w:t xml:space="preserve">• </w:t>
      </w:r>
      <w:r>
        <w:rPr>
          <w:rFonts w:ascii="Calibri" w:hAnsi="Calibri"/>
          <w:sz w:val="24"/>
        </w:rPr>
        <w:t>99.5% system uptime for DGX SuperPOD infrastructure</w:t>
      </w:r>
    </w:p>
    <w:p>
      <w:pPr>
        <w:spacing w:after="80"/>
        <w:ind w:left="360"/>
      </w:pPr>
      <w:r>
        <w:rPr>
          <w:rFonts w:ascii="Calibri" w:hAnsi="Calibri"/>
          <w:sz w:val="24"/>
        </w:rPr>
        <w:t xml:space="preserve">• </w:t>
      </w:r>
      <w:r>
        <w:rPr>
          <w:rFonts w:ascii="Calibri" w:hAnsi="Calibri"/>
          <w:sz w:val="24"/>
        </w:rPr>
        <w:t>14 GB/s sustained storage throughput for large dataset workloads</w:t>
      </w:r>
    </w:p>
    <w:p>
      <w:pPr>
        <w:pStyle w:val="Heading1"/>
        <w:spacing w:before="160" w:after="120"/>
        <w:ind w:left="0"/>
      </w:pPr>
      <w:r>
        <w:t>3 Scope of Work</w:t>
      </w:r>
    </w:p>
    <w:p>
      <w:pPr>
        <w:pStyle w:val="Heading2"/>
        <w:spacing w:before="240" w:after="120"/>
        <w:ind w:left="0"/>
      </w:pPr>
      <w:r>
        <w:t>3.1 In Scope</w:t>
      </w:r>
    </w:p>
    <w:p>
      <w:r>
        <w:rPr>
          <w:rFonts w:ascii="Calibri" w:hAnsi="Calibri"/>
          <w:sz w:val="24"/>
        </w:rPr>
        <w:t>The following services and deliverables are included in this SOW:</w:t>
      </w:r>
    </w:p>
    <w:p>
      <w:pPr>
        <w:spacing w:after="80"/>
        <w:ind w:left="360"/>
      </w:pPr>
      <w:r>
        <w:rPr>
          <w:rFonts w:ascii="Calibri" w:hAnsi="Calibri"/>
          <w:sz w:val="24"/>
        </w:rPr>
        <w:t xml:space="preserve">• </w:t>
      </w:r>
      <w:r>
        <w:rPr>
          <w:rFonts w:ascii="Calibri" w:hAnsi="Calibri"/>
          <w:sz w:val="24"/>
        </w:rPr>
        <w:t>DGX SuperPOD architecture design and site planning</w:t>
      </w:r>
    </w:p>
    <w:p>
      <w:pPr>
        <w:spacing w:after="80"/>
        <w:ind w:left="360"/>
      </w:pPr>
      <w:r>
        <w:rPr>
          <w:rFonts w:ascii="Calibri" w:hAnsi="Calibri"/>
          <w:sz w:val="24"/>
        </w:rPr>
        <w:t xml:space="preserve">• </w:t>
      </w:r>
      <w:r>
        <w:rPr>
          <w:rFonts w:ascii="Calibri" w:hAnsi="Calibri"/>
          <w:sz w:val="24"/>
        </w:rPr>
        <w:t>Datacenter power, cooling, and facilities preparation</w:t>
      </w:r>
    </w:p>
    <w:p>
      <w:pPr>
        <w:spacing w:after="80"/>
        <w:ind w:left="360"/>
      </w:pPr>
      <w:r>
        <w:rPr>
          <w:rFonts w:ascii="Calibri" w:hAnsi="Calibri"/>
          <w:sz w:val="24"/>
        </w:rPr>
        <w:t xml:space="preserve">• </w:t>
      </w:r>
      <w:r>
        <w:rPr>
          <w:rFonts w:ascii="Calibri" w:hAnsi="Calibri"/>
          <w:sz w:val="24"/>
        </w:rPr>
        <w:t>DGX H100 systems procurement, installation, and configuration</w:t>
      </w:r>
    </w:p>
    <w:p>
      <w:pPr>
        <w:spacing w:after="80"/>
        <w:ind w:left="360"/>
      </w:pPr>
      <w:r>
        <w:rPr>
          <w:rFonts w:ascii="Calibri" w:hAnsi="Calibri"/>
          <w:sz w:val="24"/>
        </w:rPr>
        <w:t xml:space="preserve">• </w:t>
      </w:r>
      <w:r>
        <w:rPr>
          <w:rFonts w:ascii="Calibri" w:hAnsi="Calibri"/>
          <w:sz w:val="24"/>
        </w:rPr>
        <w:t>NVIDIA Quantum-2 InfiniBand fabric deployment (400 Gbps)</w:t>
      </w:r>
    </w:p>
    <w:p>
      <w:pPr>
        <w:spacing w:after="80"/>
        <w:ind w:left="360"/>
      </w:pPr>
      <w:r>
        <w:rPr>
          <w:rFonts w:ascii="Calibri" w:hAnsi="Calibri"/>
          <w:sz w:val="24"/>
        </w:rPr>
        <w:t xml:space="preserve">• </w:t>
      </w:r>
      <w:r>
        <w:rPr>
          <w:rFonts w:ascii="Calibri" w:hAnsi="Calibri"/>
          <w:sz w:val="24"/>
        </w:rPr>
        <w:t>Base Command platform and storage cluster implementation</w:t>
      </w:r>
    </w:p>
    <w:p>
      <w:pPr>
        <w:spacing w:after="80"/>
        <w:ind w:left="360"/>
      </w:pPr>
      <w:r>
        <w:rPr>
          <w:rFonts w:ascii="Calibri" w:hAnsi="Calibri"/>
          <w:sz w:val="24"/>
        </w:rPr>
        <w:t xml:space="preserve">• </w:t>
      </w:r>
      <w:r>
        <w:rPr>
          <w:rFonts w:ascii="Calibri" w:hAnsi="Calibri"/>
          <w:sz w:val="24"/>
        </w:rPr>
        <w:t>Software stack deployment (DGX OS, NGC containers, AI frameworks)</w:t>
      </w:r>
    </w:p>
    <w:p>
      <w:pPr>
        <w:spacing w:after="80"/>
        <w:ind w:left="360"/>
      </w:pPr>
      <w:r>
        <w:rPr>
          <w:rFonts w:ascii="Calibri" w:hAnsi="Calibri"/>
          <w:sz w:val="24"/>
        </w:rPr>
        <w:t xml:space="preserve">• </w:t>
      </w:r>
      <w:r>
        <w:rPr>
          <w:rFonts w:ascii="Calibri" w:hAnsi="Calibri"/>
          <w:sz w:val="24"/>
        </w:rPr>
        <w:t>Integration with existing identity management and monitoring systems</w:t>
      </w:r>
    </w:p>
    <w:p>
      <w:pPr>
        <w:spacing w:after="80"/>
        <w:ind w:left="360"/>
      </w:pPr>
      <w:r>
        <w:rPr>
          <w:rFonts w:ascii="Calibri" w:hAnsi="Calibri"/>
          <w:sz w:val="24"/>
        </w:rPr>
        <w:t xml:space="preserve">• </w:t>
      </w:r>
      <w:r>
        <w:rPr>
          <w:rFonts w:ascii="Calibri" w:hAnsi="Calibri"/>
          <w:sz w:val="24"/>
        </w:rPr>
        <w:t>Performance validation and workload optimization</w:t>
      </w:r>
    </w:p>
    <w:p>
      <w:pPr>
        <w:spacing w:after="80"/>
        <w:ind w:left="360"/>
      </w:pPr>
      <w:r>
        <w:rPr>
          <w:rFonts w:ascii="Calibri" w:hAnsi="Calibri"/>
          <w:sz w:val="24"/>
        </w:rPr>
        <w:t xml:space="preserve">• </w:t>
      </w:r>
      <w:r>
        <w:rPr>
          <w:rFonts w:ascii="Calibri" w:hAnsi="Calibri"/>
          <w:sz w:val="24"/>
        </w:rPr>
        <w:t>Administrator and data scientist training</w:t>
      </w:r>
    </w:p>
    <w:p>
      <w:pPr>
        <w:spacing w:after="80"/>
        <w:ind w:left="360"/>
      </w:pPr>
      <w:r>
        <w:rPr>
          <w:rFonts w:ascii="Calibri" w:hAnsi="Calibri"/>
          <w:sz w:val="24"/>
        </w:rPr>
        <w:t xml:space="preserve">• </w:t>
      </w:r>
      <w:r>
        <w:rPr>
          <w:rFonts w:ascii="Calibri" w:hAnsi="Calibri"/>
          <w:sz w:val="24"/>
        </w:rPr>
        <w:t>Knowledge transfer and documentation</w:t>
      </w:r>
    </w:p>
    <w:p>
      <w:pPr>
        <w:pStyle w:val="Heading3"/>
        <w:spacing w:before="160" w:after="120"/>
        <w:ind w:left="0"/>
      </w:pPr>
      <w:r>
        <w:t>3.1.1 Scope Parameters</w:t>
      </w:r>
    </w:p>
    <w:p>
      <w:r>
        <w:rPr>
          <w:rFonts w:ascii="Calibri" w:hAnsi="Calibri"/>
          <w:sz w:val="24"/>
        </w:rPr>
        <w:t>This engagement is sized based on the following parameters: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DGX Systems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8x DGX H100 systems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 Workload Type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LLM training and inference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Research Team Size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50-75 data scientists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Storage Infrastructure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PB NVMe storage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Datasets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Multi-TB datasets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Model Checkpointing</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Frequent checkpointing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Fabric</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InfiniBand 400 Gbps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Datacenter Readiness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Facility upgrades required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Model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On-premises datacenter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Classification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Proprietary AI models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 Requirements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Standard security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GPU Utilization Target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70-80% utilization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Time Requirements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to train large models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Software Stack</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NVIDIA AI Enterprise + NGC</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 Platform</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Base Command Manager</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Engagement Scope Parameters</w:t>
      </w:r>
    </w:p>
    <w:p>
      <w:r>
        <w:rPr>
          <w:rFonts w:ascii="Calibri" w:hAnsi="Calibri"/>
          <w:sz w:val="24"/>
        </w:rPr>
        <w:t>Table: Engagement Scope Parameters</w:t>
      </w:r>
    </w:p>
    <w:p>
      <w:r>
        <w:rPr>
          <w:rFonts w:ascii="Calibri" w:hAnsi="Calibri"/>
          <w:i/>
          <w:sz w:val="24"/>
        </w:rPr>
        <w:t>Note: Changes to these parameters may require scope adjustment and additional investment.</w:t>
      </w:r>
    </w:p>
    <w:p>
      <w:pPr>
        <w:pStyle w:val="Heading2"/>
        <w:spacing w:before="240" w:after="120"/>
        <w:ind w:left="0"/>
      </w:pPr>
      <w:r>
        <w:t>3.2 Activities</w:t>
      </w:r>
    </w:p>
    <w:p>
      <w:pPr>
        <w:pStyle w:val="Heading3"/>
        <w:spacing w:before="160" w:after="120"/>
        <w:ind w:left="0"/>
      </w:pPr>
      <w:r>
        <w:t>3.2.1 Phase 1 – Discovery &amp; Assessment</w:t>
      </w:r>
    </w:p>
    <w:p>
      <w:r>
        <w:rPr>
          <w:rFonts w:ascii="Calibri" w:hAnsi="Calibri"/>
          <w:sz w:val="24"/>
        </w:rPr>
        <w:t>During this initial phase, the Vendor will perform a comprehensive assessment of the Client's AI workload requirements, datacenter readiness, and infrastructure needs. This includes analyzing current training workflows, identifying workload characteristics, and designing the optimal DGX SuperPOD architecture.</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AI workload analysis and performance requirements gathering</w:t>
      </w:r>
    </w:p>
    <w:p>
      <w:pPr>
        <w:spacing w:after="80"/>
        <w:ind w:left="360"/>
      </w:pPr>
      <w:r>
        <w:rPr>
          <w:rFonts w:ascii="Calibri" w:hAnsi="Calibri"/>
          <w:sz w:val="24"/>
        </w:rPr>
        <w:t xml:space="preserve">• </w:t>
      </w:r>
      <w:r>
        <w:rPr>
          <w:rFonts w:ascii="Calibri" w:hAnsi="Calibri"/>
          <w:sz w:val="24"/>
        </w:rPr>
        <w:t>Model architecture assessment (LLMs, computer vision, drug discovery workloads)</w:t>
      </w:r>
    </w:p>
    <w:p>
      <w:pPr>
        <w:spacing w:after="80"/>
        <w:ind w:left="360"/>
      </w:pPr>
      <w:r>
        <w:rPr>
          <w:rFonts w:ascii="Calibri" w:hAnsi="Calibri"/>
          <w:sz w:val="24"/>
        </w:rPr>
        <w:t xml:space="preserve">• </w:t>
      </w:r>
      <w:r>
        <w:rPr>
          <w:rFonts w:ascii="Calibri" w:hAnsi="Calibri"/>
          <w:sz w:val="24"/>
        </w:rPr>
        <w:t>Datacenter site survey (power, cooling, network, physical space)</w:t>
      </w:r>
    </w:p>
    <w:p>
      <w:pPr>
        <w:spacing w:after="80"/>
        <w:ind w:left="360"/>
      </w:pPr>
      <w:r>
        <w:rPr>
          <w:rFonts w:ascii="Calibri" w:hAnsi="Calibri"/>
          <w:sz w:val="24"/>
        </w:rPr>
        <w:t xml:space="preserve">• </w:t>
      </w:r>
      <w:r>
        <w:rPr>
          <w:rFonts w:ascii="Calibri" w:hAnsi="Calibri"/>
          <w:sz w:val="24"/>
        </w:rPr>
        <w:t>InfiniBand fabric design and network topology planning</w:t>
      </w:r>
    </w:p>
    <w:p>
      <w:pPr>
        <w:spacing w:after="80"/>
        <w:ind w:left="360"/>
      </w:pPr>
      <w:r>
        <w:rPr>
          <w:rFonts w:ascii="Calibri" w:hAnsi="Calibri"/>
          <w:sz w:val="24"/>
        </w:rPr>
        <w:t xml:space="preserve">• </w:t>
      </w:r>
      <w:r>
        <w:rPr>
          <w:rFonts w:ascii="Calibri" w:hAnsi="Calibri"/>
          <w:sz w:val="24"/>
        </w:rPr>
        <w:t>Storage capacity planning for datasets and model checkpoints</w:t>
      </w:r>
    </w:p>
    <w:p>
      <w:pPr>
        <w:spacing w:after="80"/>
        <w:ind w:left="360"/>
      </w:pPr>
      <w:r>
        <w:rPr>
          <w:rFonts w:ascii="Calibri" w:hAnsi="Calibri"/>
          <w:sz w:val="24"/>
        </w:rPr>
        <w:t xml:space="preserve">• </w:t>
      </w:r>
      <w:r>
        <w:rPr>
          <w:rFonts w:ascii="Calibri" w:hAnsi="Calibri"/>
          <w:sz w:val="24"/>
        </w:rPr>
        <w:t>Security and compliance requirements analysis</w:t>
      </w:r>
    </w:p>
    <w:p>
      <w:pPr>
        <w:spacing w:after="80"/>
        <w:ind w:left="360"/>
      </w:pPr>
      <w:r>
        <w:rPr>
          <w:rFonts w:ascii="Calibri" w:hAnsi="Calibri"/>
          <w:sz w:val="24"/>
        </w:rPr>
        <w:t xml:space="preserve">• </w:t>
      </w:r>
      <w:r>
        <w:rPr>
          <w:rFonts w:ascii="Calibri" w:hAnsi="Calibri"/>
          <w:sz w:val="24"/>
        </w:rPr>
        <w:t>Integration requirements with existing systems (LDAP, monitoring, job schedulers)</w:t>
      </w:r>
    </w:p>
    <w:p>
      <w:pPr>
        <w:spacing w:after="80"/>
        <w:ind w:left="360"/>
      </w:pPr>
      <w:r>
        <w:rPr>
          <w:rFonts w:ascii="Calibri" w:hAnsi="Calibri"/>
          <w:sz w:val="24"/>
        </w:rPr>
        <w:t xml:space="preserve">• </w:t>
      </w:r>
      <w:r>
        <w:rPr>
          <w:rFonts w:ascii="Calibri" w:hAnsi="Calibri"/>
          <w:sz w:val="24"/>
        </w:rPr>
        <w:t>DGX SuperPOD architecture design (compute, network, storage, software)</w:t>
      </w:r>
    </w:p>
    <w:p>
      <w:pPr>
        <w:spacing w:after="80"/>
        <w:ind w:left="360"/>
      </w:pPr>
      <w:r>
        <w:rPr>
          <w:rFonts w:ascii="Calibri" w:hAnsi="Calibri"/>
          <w:sz w:val="24"/>
        </w:rPr>
        <w:t xml:space="preserve">• </w:t>
      </w:r>
      <w:r>
        <w:rPr>
          <w:rFonts w:ascii="Calibri" w:hAnsi="Calibri"/>
          <w:sz w:val="24"/>
        </w:rPr>
        <w:t>Implementation planning and resource allocation</w:t>
      </w:r>
    </w:p>
    <w:p>
      <w:r>
        <w:rPr>
          <w:rFonts w:ascii="Calibri" w:hAnsi="Calibri"/>
          <w:sz w:val="24"/>
        </w:rPr>
        <w:t>This phase concludes with an Assessment Report that outlines the proposed SuperPOD architecture, datacenter requirements, network topology, storage design, risks, and project timeline.</w:t>
      </w:r>
    </w:p>
    <w:p>
      <w:pPr>
        <w:pStyle w:val="Heading3"/>
        <w:spacing w:before="160" w:after="120"/>
        <w:ind w:left="0"/>
      </w:pPr>
      <w:r>
        <w:t>3.2.2 Phase 2 – Site Preparation &amp; Infrastructure Setup</w:t>
      </w:r>
    </w:p>
    <w:p>
      <w:r>
        <w:rPr>
          <w:rFonts w:ascii="Calibri" w:hAnsi="Calibri"/>
          <w:sz w:val="24"/>
        </w:rPr>
        <w:t>In this phase, the datacenter facilities are prepared and infrastructure is provisioned based on NVIDIA DGX SuperPOD best practices. This includes power and cooling upgrades, network cabling, and rack installation.</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Datacenter power and cooling infrastructure upgrades (500 kW capacity)</w:t>
      </w:r>
    </w:p>
    <w:p>
      <w:pPr>
        <w:spacing w:after="80"/>
        <w:ind w:left="360"/>
      </w:pPr>
      <w:r>
        <w:rPr>
          <w:rFonts w:ascii="Calibri" w:hAnsi="Calibri"/>
          <w:sz w:val="24"/>
        </w:rPr>
        <w:t xml:space="preserve">• </w:t>
      </w:r>
      <w:r>
        <w:rPr>
          <w:rFonts w:ascii="Calibri" w:hAnsi="Calibri"/>
          <w:sz w:val="24"/>
        </w:rPr>
        <w:t>Rack installation and cable management (power, InfiniBand, Ethernet)</w:t>
      </w:r>
    </w:p>
    <w:p>
      <w:pPr>
        <w:spacing w:after="80"/>
        <w:ind w:left="360"/>
      </w:pPr>
      <w:r>
        <w:rPr>
          <w:rFonts w:ascii="Calibri" w:hAnsi="Calibri"/>
          <w:sz w:val="24"/>
        </w:rPr>
        <w:t xml:space="preserve">• </w:t>
      </w:r>
      <w:r>
        <w:rPr>
          <w:rFonts w:ascii="Calibri" w:hAnsi="Calibri"/>
          <w:sz w:val="24"/>
        </w:rPr>
        <w:t>InfiniBand switch installation and fabric cabling (400 Gbps Quantum-2)</w:t>
      </w:r>
    </w:p>
    <w:p>
      <w:pPr>
        <w:spacing w:after="80"/>
        <w:ind w:left="360"/>
      </w:pPr>
      <w:r>
        <w:rPr>
          <w:rFonts w:ascii="Calibri" w:hAnsi="Calibri"/>
          <w:sz w:val="24"/>
        </w:rPr>
        <w:t xml:space="preserve">• </w:t>
      </w:r>
      <w:r>
        <w:rPr>
          <w:rFonts w:ascii="Calibri" w:hAnsi="Calibri"/>
          <w:sz w:val="24"/>
        </w:rPr>
        <w:t>Storage cluster hardware installation (Base Command with 1 PB NVMe)</w:t>
      </w:r>
    </w:p>
    <w:p>
      <w:pPr>
        <w:spacing w:after="80"/>
        <w:ind w:left="360"/>
      </w:pPr>
      <w:r>
        <w:rPr>
          <w:rFonts w:ascii="Calibri" w:hAnsi="Calibri"/>
          <w:sz w:val="24"/>
        </w:rPr>
        <w:t xml:space="preserve">• </w:t>
      </w:r>
      <w:r>
        <w:rPr>
          <w:rFonts w:ascii="Calibri" w:hAnsi="Calibri"/>
          <w:sz w:val="24"/>
        </w:rPr>
        <w:t>Network infrastructure validation and acceptance testing</w:t>
      </w:r>
    </w:p>
    <w:p>
      <w:pPr>
        <w:spacing w:after="80"/>
        <w:ind w:left="360"/>
      </w:pPr>
      <w:r>
        <w:rPr>
          <w:rFonts w:ascii="Calibri" w:hAnsi="Calibri"/>
          <w:sz w:val="24"/>
        </w:rPr>
        <w:t xml:space="preserve">• </w:t>
      </w:r>
      <w:r>
        <w:rPr>
          <w:rFonts w:ascii="Calibri" w:hAnsi="Calibri"/>
          <w:sz w:val="24"/>
        </w:rPr>
        <w:t>Environmental monitoring setup (temperature, humidity, power)</w:t>
      </w:r>
    </w:p>
    <w:p>
      <w:pPr>
        <w:spacing w:after="80"/>
        <w:ind w:left="360"/>
      </w:pPr>
      <w:r>
        <w:rPr>
          <w:rFonts w:ascii="Calibri" w:hAnsi="Calibri"/>
          <w:sz w:val="24"/>
        </w:rPr>
        <w:t xml:space="preserve">• </w:t>
      </w:r>
      <w:r>
        <w:rPr>
          <w:rFonts w:ascii="Calibri" w:hAnsi="Calibri"/>
          <w:sz w:val="24"/>
        </w:rPr>
        <w:t>Physical security controls (access control, surveillance)</w:t>
      </w:r>
    </w:p>
    <w:p>
      <w:r>
        <w:rPr>
          <w:rFonts w:ascii="Calibri" w:hAnsi="Calibri"/>
          <w:sz w:val="24"/>
        </w:rPr>
        <w:t>By the end of this phase, the Client will have a production-ready datacenter environment for DGX SuperPOD deployment.</w:t>
      </w:r>
    </w:p>
    <w:p>
      <w:pPr>
        <w:pStyle w:val="Heading3"/>
        <w:spacing w:before="160" w:after="120"/>
        <w:ind w:left="0"/>
      </w:pPr>
      <w:r>
        <w:t>3.2.3 Phase 3 – DGX SuperPOD Deployment</w:t>
      </w:r>
    </w:p>
    <w:p>
      <w:r>
        <w:rPr>
          <w:rFonts w:ascii="Calibri" w:hAnsi="Calibri"/>
          <w:sz w:val="24"/>
        </w:rPr>
        <w:t>Implementation will occur in well-defined phases starting with initial DGX systems, followed by InfiniBand fabric configuration, storage cluster deployment, and software stack installation.</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DGX H100 systems installation and initial configuration (8 systems)</w:t>
      </w:r>
    </w:p>
    <w:p>
      <w:pPr>
        <w:spacing w:after="80"/>
        <w:ind w:left="360"/>
      </w:pPr>
      <w:r>
        <w:rPr>
          <w:rFonts w:ascii="Calibri" w:hAnsi="Calibri"/>
          <w:sz w:val="24"/>
        </w:rPr>
        <w:t xml:space="preserve">• </w:t>
      </w:r>
      <w:r>
        <w:rPr>
          <w:rFonts w:ascii="Calibri" w:hAnsi="Calibri"/>
          <w:sz w:val="24"/>
        </w:rPr>
        <w:t>InfiniBand fabric configuration and RDMA validation</w:t>
      </w:r>
    </w:p>
    <w:p>
      <w:pPr>
        <w:spacing w:after="80"/>
        <w:ind w:left="360"/>
      </w:pPr>
      <w:r>
        <w:rPr>
          <w:rFonts w:ascii="Calibri" w:hAnsi="Calibri"/>
          <w:sz w:val="24"/>
        </w:rPr>
        <w:t xml:space="preserve">• </w:t>
      </w:r>
      <w:r>
        <w:rPr>
          <w:rFonts w:ascii="Calibri" w:hAnsi="Calibri"/>
          <w:sz w:val="24"/>
        </w:rPr>
        <w:t>Base Command platform deployment and storage cluster integration</w:t>
      </w:r>
    </w:p>
    <w:p>
      <w:pPr>
        <w:spacing w:after="80"/>
        <w:ind w:left="360"/>
      </w:pPr>
      <w:r>
        <w:rPr>
          <w:rFonts w:ascii="Calibri" w:hAnsi="Calibri"/>
          <w:sz w:val="24"/>
        </w:rPr>
        <w:t xml:space="preserve">• </w:t>
      </w:r>
      <w:r>
        <w:rPr>
          <w:rFonts w:ascii="Calibri" w:hAnsi="Calibri"/>
          <w:sz w:val="24"/>
        </w:rPr>
        <w:t>DGX OS installation and system software configuration</w:t>
      </w:r>
    </w:p>
    <w:p>
      <w:pPr>
        <w:spacing w:after="80"/>
        <w:ind w:left="360"/>
      </w:pPr>
      <w:r>
        <w:rPr>
          <w:rFonts w:ascii="Calibri" w:hAnsi="Calibri"/>
          <w:sz w:val="24"/>
        </w:rPr>
        <w:t xml:space="preserve">• </w:t>
      </w:r>
      <w:r>
        <w:rPr>
          <w:rFonts w:ascii="Calibri" w:hAnsi="Calibri"/>
          <w:sz w:val="24"/>
        </w:rPr>
        <w:t>NGC catalog integration and container runtime setup</w:t>
      </w:r>
    </w:p>
    <w:p>
      <w:pPr>
        <w:spacing w:after="80"/>
        <w:ind w:left="360"/>
      </w:pPr>
      <w:r>
        <w:rPr>
          <w:rFonts w:ascii="Calibri" w:hAnsi="Calibri"/>
          <w:sz w:val="24"/>
        </w:rPr>
        <w:t xml:space="preserve">• </w:t>
      </w:r>
      <w:r>
        <w:rPr>
          <w:rFonts w:ascii="Calibri" w:hAnsi="Calibri"/>
          <w:sz w:val="24"/>
        </w:rPr>
        <w:t>AI framework deployment (PyTorch, TensorFlow, RAPIDS, JAX)</w:t>
      </w:r>
    </w:p>
    <w:p>
      <w:pPr>
        <w:spacing w:after="80"/>
        <w:ind w:left="360"/>
      </w:pPr>
      <w:r>
        <w:rPr>
          <w:rFonts w:ascii="Calibri" w:hAnsi="Calibri"/>
          <w:sz w:val="24"/>
        </w:rPr>
        <w:t xml:space="preserve">• </w:t>
      </w:r>
      <w:r>
        <w:rPr>
          <w:rFonts w:ascii="Calibri" w:hAnsi="Calibri"/>
          <w:sz w:val="24"/>
        </w:rPr>
        <w:t>NCCL multi-GPU communication optimization</w:t>
      </w:r>
    </w:p>
    <w:p>
      <w:pPr>
        <w:spacing w:after="80"/>
        <w:ind w:left="360"/>
      </w:pPr>
      <w:r>
        <w:rPr>
          <w:rFonts w:ascii="Calibri" w:hAnsi="Calibri"/>
          <w:sz w:val="24"/>
        </w:rPr>
        <w:t xml:space="preserve">• </w:t>
      </w:r>
      <w:r>
        <w:rPr>
          <w:rFonts w:ascii="Calibri" w:hAnsi="Calibri"/>
          <w:sz w:val="24"/>
        </w:rPr>
        <w:t>Slurm workload manager and job scheduler configuration</w:t>
      </w:r>
    </w:p>
    <w:p>
      <w:pPr>
        <w:spacing w:after="80"/>
        <w:ind w:left="360"/>
      </w:pPr>
      <w:r>
        <w:rPr>
          <w:rFonts w:ascii="Calibri" w:hAnsi="Calibri"/>
          <w:sz w:val="24"/>
        </w:rPr>
        <w:t xml:space="preserve">• </w:t>
      </w:r>
      <w:r>
        <w:rPr>
          <w:rFonts w:ascii="Calibri" w:hAnsi="Calibri"/>
          <w:sz w:val="24"/>
        </w:rPr>
        <w:t>User authentication integration (LDAP/Active Directory)</w:t>
      </w:r>
    </w:p>
    <w:p>
      <w:pPr>
        <w:spacing w:after="80"/>
        <w:ind w:left="360"/>
      </w:pPr>
      <w:r>
        <w:rPr>
          <w:rFonts w:ascii="Calibri" w:hAnsi="Calibri"/>
          <w:sz w:val="24"/>
        </w:rPr>
        <w:t xml:space="preserve">• </w:t>
      </w:r>
      <w:r>
        <w:rPr>
          <w:rFonts w:ascii="Calibri" w:hAnsi="Calibri"/>
          <w:sz w:val="24"/>
        </w:rPr>
        <w:t>Monitoring and logging infrastructure setup (DCGM, Prometheus, Grafana)</w:t>
      </w:r>
    </w:p>
    <w:p>
      <w:r>
        <w:rPr>
          <w:rFonts w:ascii="Calibri" w:hAnsi="Calibri"/>
          <w:sz w:val="24"/>
        </w:rPr>
        <w:t>After each phase, the Vendor will coordinate validation and sign-off with the Client before proceeding.</w:t>
      </w:r>
    </w:p>
    <w:p>
      <w:pPr>
        <w:pStyle w:val="Heading3"/>
        <w:spacing w:before="160" w:after="120"/>
        <w:ind w:left="0"/>
      </w:pPr>
      <w:r>
        <w:t>3.2.4 Phase 4 – Testing &amp; Validation</w:t>
      </w:r>
    </w:p>
    <w:p>
      <w:r>
        <w:rPr>
          <w:rFonts w:ascii="Calibri" w:hAnsi="Calibri"/>
          <w:sz w:val="24"/>
        </w:rPr>
        <w:t>In the Testing and Validation phase, the DGX SuperPOD undergoes thorough performance, scalability, and reliability validation to ensure it meets required specifications. Benchmark workloads will be executed based on Client AI use cases.</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Multi-GPU performance benchmarking (single node and multi-node)</w:t>
      </w:r>
    </w:p>
    <w:p>
      <w:pPr>
        <w:spacing w:after="80"/>
        <w:ind w:left="360"/>
      </w:pPr>
      <w:r>
        <w:rPr>
          <w:rFonts w:ascii="Calibri" w:hAnsi="Calibri"/>
          <w:sz w:val="24"/>
        </w:rPr>
        <w:t xml:space="preserve">• </w:t>
      </w:r>
      <w:r>
        <w:rPr>
          <w:rFonts w:ascii="Calibri" w:hAnsi="Calibri"/>
          <w:sz w:val="24"/>
        </w:rPr>
        <w:t>InfiniBand fabric performance validation (RDMA bandwidth, latency)</w:t>
      </w:r>
    </w:p>
    <w:p>
      <w:pPr>
        <w:spacing w:after="80"/>
        <w:ind w:left="360"/>
      </w:pPr>
      <w:r>
        <w:rPr>
          <w:rFonts w:ascii="Calibri" w:hAnsi="Calibri"/>
          <w:sz w:val="24"/>
        </w:rPr>
        <w:t xml:space="preserve">• </w:t>
      </w:r>
      <w:r>
        <w:rPr>
          <w:rFonts w:ascii="Calibri" w:hAnsi="Calibri"/>
          <w:sz w:val="24"/>
        </w:rPr>
        <w:t>Storage throughput testing (14 GB/s sustained read/write)</w:t>
      </w:r>
    </w:p>
    <w:p>
      <w:pPr>
        <w:spacing w:after="80"/>
        <w:ind w:left="360"/>
      </w:pPr>
      <w:r>
        <w:rPr>
          <w:rFonts w:ascii="Calibri" w:hAnsi="Calibri"/>
          <w:sz w:val="24"/>
        </w:rPr>
        <w:t xml:space="preserve">• </w:t>
      </w:r>
      <w:r>
        <w:rPr>
          <w:rFonts w:ascii="Calibri" w:hAnsi="Calibri"/>
          <w:sz w:val="24"/>
        </w:rPr>
        <w:t>AI framework performance validation (BERT, GPT, ResNet, DLRM)</w:t>
      </w:r>
    </w:p>
    <w:p>
      <w:pPr>
        <w:spacing w:after="80"/>
        <w:ind w:left="360"/>
      </w:pPr>
      <w:r>
        <w:rPr>
          <w:rFonts w:ascii="Calibri" w:hAnsi="Calibri"/>
          <w:sz w:val="24"/>
        </w:rPr>
        <w:t xml:space="preserve">• </w:t>
      </w:r>
      <w:r>
        <w:rPr>
          <w:rFonts w:ascii="Calibri" w:hAnsi="Calibri"/>
          <w:sz w:val="24"/>
        </w:rPr>
        <w:t>Distributed training scalability testing (64 GPU strong/weak scaling)</w:t>
      </w:r>
    </w:p>
    <w:p>
      <w:pPr>
        <w:spacing w:after="80"/>
        <w:ind w:left="360"/>
      </w:pPr>
      <w:r>
        <w:rPr>
          <w:rFonts w:ascii="Calibri" w:hAnsi="Calibri"/>
          <w:sz w:val="24"/>
        </w:rPr>
        <w:t xml:space="preserve">• </w:t>
      </w:r>
      <w:r>
        <w:rPr>
          <w:rFonts w:ascii="Calibri" w:hAnsi="Calibri"/>
          <w:sz w:val="24"/>
        </w:rPr>
        <w:t>Fault tolerance and failover testing</w:t>
      </w:r>
    </w:p>
    <w:p>
      <w:pPr>
        <w:spacing w:after="80"/>
        <w:ind w:left="360"/>
      </w:pPr>
      <w:r>
        <w:rPr>
          <w:rFonts w:ascii="Calibri" w:hAnsi="Calibri"/>
          <w:sz w:val="24"/>
        </w:rPr>
        <w:t xml:space="preserve">• </w:t>
      </w:r>
      <w:r>
        <w:rPr>
          <w:rFonts w:ascii="Calibri" w:hAnsi="Calibri"/>
          <w:sz w:val="24"/>
        </w:rPr>
        <w:t>Security and access control validation</w:t>
      </w:r>
    </w:p>
    <w:p>
      <w:pPr>
        <w:spacing w:after="80"/>
        <w:ind w:left="360"/>
      </w:pPr>
      <w:r>
        <w:rPr>
          <w:rFonts w:ascii="Calibri" w:hAnsi="Calibri"/>
          <w:sz w:val="24"/>
        </w:rPr>
        <w:t xml:space="preserve">• </w:t>
      </w:r>
      <w:r>
        <w:rPr>
          <w:rFonts w:ascii="Calibri" w:hAnsi="Calibri"/>
          <w:sz w:val="24"/>
        </w:rPr>
        <w:t>User Acceptance Testing (UAT) with data science team</w:t>
      </w:r>
    </w:p>
    <w:p>
      <w:pPr>
        <w:spacing w:after="80"/>
        <w:ind w:left="360"/>
      </w:pPr>
      <w:r>
        <w:rPr>
          <w:rFonts w:ascii="Calibri" w:hAnsi="Calibri"/>
          <w:sz w:val="24"/>
        </w:rPr>
        <w:t xml:space="preserve">• </w:t>
      </w:r>
      <w:r>
        <w:rPr>
          <w:rFonts w:ascii="Calibri" w:hAnsi="Calibri"/>
          <w:sz w:val="24"/>
        </w:rPr>
        <w:t>Go-live readiness review and production cutover planning</w:t>
      </w:r>
    </w:p>
    <w:p>
      <w:r>
        <w:rPr>
          <w:rFonts w:ascii="Calibri" w:hAnsi="Calibri"/>
          <w:sz w:val="24"/>
        </w:rPr>
        <w:t>Cutover will be coordinated with all relevant stakeholders and executed during an approved maintenance window, with well-documented procedures in place.</w:t>
      </w:r>
    </w:p>
    <w:p>
      <w:pPr>
        <w:pStyle w:val="Heading3"/>
        <w:spacing w:before="160" w:after="120"/>
        <w:ind w:left="0"/>
      </w:pPr>
      <w:r>
        <w:t>3.2.5 Phase 5 – Handover &amp; Post-Implementation Support</w:t>
      </w:r>
    </w:p>
    <w:p>
      <w:r>
        <w:rPr>
          <w:rFonts w:ascii="Calibri" w:hAnsi="Calibri"/>
          <w:sz w:val="24"/>
        </w:rPr>
        <w:t>Following successful implementation and validation, the focus shifts to ensuring operational continuity and knowledge transfer. The Vendor will provide a period of hypercare support and equip the Client's team with the documentation, tools, and processes needed for ongoing operations.</w:t>
      </w:r>
    </w:p>
    <w:p>
      <w:r>
        <w:rPr>
          <w:rFonts w:ascii="Calibri" w:hAnsi="Calibri"/>
          <w:sz w:val="24"/>
        </w:rPr>
        <w:t>Activities include:</w:t>
      </w:r>
    </w:p>
    <w:p>
      <w:pPr>
        <w:spacing w:after="80"/>
        <w:ind w:left="360"/>
      </w:pPr>
      <w:r>
        <w:rPr>
          <w:rFonts w:ascii="Calibri" w:hAnsi="Calibri"/>
          <w:sz w:val="24"/>
        </w:rPr>
        <w:t xml:space="preserve">• </w:t>
      </w:r>
      <w:r>
        <w:rPr>
          <w:rFonts w:ascii="Calibri" w:hAnsi="Calibri"/>
          <w:sz w:val="24"/>
        </w:rPr>
        <w:t>Delivery of as-built documentation (architecture diagrams, network topology, configurations)</w:t>
      </w:r>
    </w:p>
    <w:p>
      <w:pPr>
        <w:spacing w:after="80"/>
        <w:ind w:left="360"/>
      </w:pPr>
      <w:r>
        <w:rPr>
          <w:rFonts w:ascii="Calibri" w:hAnsi="Calibri"/>
          <w:sz w:val="24"/>
        </w:rPr>
        <w:t xml:space="preserve">• </w:t>
      </w:r>
      <w:r>
        <w:rPr>
          <w:rFonts w:ascii="Calibri" w:hAnsi="Calibri"/>
          <w:sz w:val="24"/>
        </w:rPr>
        <w:t>Operations runbook and SOPs for DGX SuperPOD management</w:t>
      </w:r>
    </w:p>
    <w:p>
      <w:pPr>
        <w:spacing w:after="80"/>
        <w:ind w:left="360"/>
      </w:pPr>
      <w:r>
        <w:rPr>
          <w:rFonts w:ascii="Calibri" w:hAnsi="Calibri"/>
          <w:sz w:val="24"/>
        </w:rPr>
        <w:t xml:space="preserve">• </w:t>
      </w:r>
      <w:r>
        <w:rPr>
          <w:rFonts w:ascii="Calibri" w:hAnsi="Calibri"/>
          <w:sz w:val="24"/>
        </w:rPr>
        <w:t>Administrator training (DGX OS, Base Command, Slurm, InfiniBand, monitoring)</w:t>
      </w:r>
    </w:p>
    <w:p>
      <w:pPr>
        <w:spacing w:after="80"/>
        <w:ind w:left="360"/>
      </w:pPr>
      <w:r>
        <w:rPr>
          <w:rFonts w:ascii="Calibri" w:hAnsi="Calibri"/>
          <w:sz w:val="24"/>
        </w:rPr>
        <w:t xml:space="preserve">• </w:t>
      </w:r>
      <w:r>
        <w:rPr>
          <w:rFonts w:ascii="Calibri" w:hAnsi="Calibri"/>
          <w:sz w:val="24"/>
        </w:rPr>
        <w:t>Data scientist training (NGC containers, distributed training, job submission)</w:t>
      </w:r>
    </w:p>
    <w:p>
      <w:pPr>
        <w:spacing w:after="80"/>
        <w:ind w:left="360"/>
      </w:pPr>
      <w:r>
        <w:rPr>
          <w:rFonts w:ascii="Calibri" w:hAnsi="Calibri"/>
          <w:sz w:val="24"/>
        </w:rPr>
        <w:t xml:space="preserve">• </w:t>
      </w:r>
      <w:r>
        <w:rPr>
          <w:rFonts w:ascii="Calibri" w:hAnsi="Calibri"/>
          <w:sz w:val="24"/>
        </w:rPr>
        <w:t>Live or recorded knowledge transfer sessions</w:t>
      </w:r>
    </w:p>
    <w:p>
      <w:pPr>
        <w:spacing w:after="80"/>
        <w:ind w:left="360"/>
      </w:pPr>
      <w:r>
        <w:rPr>
          <w:rFonts w:ascii="Calibri" w:hAnsi="Calibri"/>
          <w:sz w:val="24"/>
        </w:rPr>
        <w:t xml:space="preserve">• </w:t>
      </w:r>
      <w:r>
        <w:rPr>
          <w:rFonts w:ascii="Calibri" w:hAnsi="Calibri"/>
          <w:sz w:val="24"/>
        </w:rPr>
        <w:t>Performance optimization recommendations and tuning guides</w:t>
      </w:r>
    </w:p>
    <w:p>
      <w:pPr>
        <w:spacing w:after="80"/>
        <w:ind w:left="360"/>
      </w:pPr>
      <w:r>
        <w:rPr>
          <w:rFonts w:ascii="Calibri" w:hAnsi="Calibri"/>
          <w:sz w:val="24"/>
        </w:rPr>
        <w:t xml:space="preserve">• </w:t>
      </w:r>
      <w:r>
        <w:rPr>
          <w:rFonts w:ascii="Calibri" w:hAnsi="Calibri"/>
          <w:sz w:val="24"/>
        </w:rPr>
        <w:t>30-day warranty support for issue resolution</w:t>
      </w:r>
    </w:p>
    <w:p>
      <w:pPr>
        <w:spacing w:after="80"/>
        <w:ind w:left="360"/>
      </w:pPr>
      <w:r>
        <w:rPr>
          <w:rFonts w:ascii="Calibri" w:hAnsi="Calibri"/>
          <w:sz w:val="24"/>
        </w:rPr>
        <w:t xml:space="preserve">• </w:t>
      </w:r>
      <w:r>
        <w:rPr>
          <w:rFonts w:ascii="Calibri" w:hAnsi="Calibri"/>
          <w:sz w:val="24"/>
        </w:rPr>
        <w:t>Optional transition to a managed services model for ongoing support, if contracted</w:t>
      </w:r>
    </w:p>
    <w:p>
      <w:pPr>
        <w:pStyle w:val="Heading2"/>
        <w:spacing w:before="240" w:after="120"/>
        <w:ind w:left="0"/>
      </w:pPr>
      <w:r>
        <w:t>3.3 Out of Scope</w:t>
      </w:r>
    </w:p>
    <w:p>
      <w:r>
        <w:rPr>
          <w:rFonts w:ascii="Calibri" w:hAnsi="Calibri"/>
          <w:sz w:val="24"/>
        </w:rPr>
        <w:t>These items are not in scope unless added via change control:</w:t>
      </w:r>
    </w:p>
    <w:p>
      <w:pPr>
        <w:spacing w:after="80"/>
        <w:ind w:left="360"/>
      </w:pPr>
      <w:r>
        <w:rPr>
          <w:rFonts w:ascii="Calibri" w:hAnsi="Calibri"/>
          <w:sz w:val="24"/>
        </w:rPr>
        <w:t xml:space="preserve">• </w:t>
      </w:r>
      <w:r>
        <w:rPr>
          <w:rFonts w:ascii="Calibri" w:hAnsi="Calibri"/>
          <w:sz w:val="24"/>
        </w:rPr>
        <w:t>GPU compute time or cloud service costs beyond initial validation</w:t>
      </w:r>
    </w:p>
    <w:p>
      <w:pPr>
        <w:spacing w:after="80"/>
        <w:ind w:left="360"/>
      </w:pPr>
      <w:r>
        <w:rPr>
          <w:rFonts w:ascii="Calibri" w:hAnsi="Calibri"/>
          <w:sz w:val="24"/>
        </w:rPr>
        <w:t xml:space="preserve">• </w:t>
      </w:r>
      <w:r>
        <w:rPr>
          <w:rFonts w:ascii="Calibri" w:hAnsi="Calibri"/>
          <w:sz w:val="24"/>
        </w:rPr>
        <w:t>Third-party software licensing beyond NVIDIA AI Enterprise</w:t>
      </w:r>
    </w:p>
    <w:p>
      <w:pPr>
        <w:spacing w:after="80"/>
        <w:ind w:left="360"/>
      </w:pPr>
      <w:r>
        <w:rPr>
          <w:rFonts w:ascii="Calibri" w:hAnsi="Calibri"/>
          <w:sz w:val="24"/>
        </w:rPr>
        <w:t xml:space="preserve">• </w:t>
      </w:r>
      <w:r>
        <w:rPr>
          <w:rFonts w:ascii="Calibri" w:hAnsi="Calibri"/>
          <w:sz w:val="24"/>
        </w:rPr>
        <w:t>Historical model retraining or legacy workload migration</w:t>
      </w:r>
    </w:p>
    <w:p>
      <w:pPr>
        <w:spacing w:after="80"/>
        <w:ind w:left="360"/>
      </w:pPr>
      <w:r>
        <w:rPr>
          <w:rFonts w:ascii="Calibri" w:hAnsi="Calibri"/>
          <w:sz w:val="24"/>
        </w:rPr>
        <w:t xml:space="preserve">• </w:t>
      </w:r>
      <w:r>
        <w:rPr>
          <w:rFonts w:ascii="Calibri" w:hAnsi="Calibri"/>
          <w:sz w:val="24"/>
        </w:rPr>
        <w:t>Custom AI model development or data science consulting services</w:t>
      </w:r>
    </w:p>
    <w:p>
      <w:pPr>
        <w:spacing w:after="80"/>
        <w:ind w:left="360"/>
      </w:pPr>
      <w:r>
        <w:rPr>
          <w:rFonts w:ascii="Calibri" w:hAnsi="Calibri"/>
          <w:sz w:val="24"/>
        </w:rPr>
        <w:t xml:space="preserve">• </w:t>
      </w:r>
      <w:r>
        <w:rPr>
          <w:rFonts w:ascii="Calibri" w:hAnsi="Calibri"/>
          <w:sz w:val="24"/>
        </w:rPr>
        <w:t>Ongoing operational support beyond 30-day warranty period</w:t>
      </w:r>
    </w:p>
    <w:p>
      <w:pPr>
        <w:spacing w:after="80"/>
        <w:ind w:left="360"/>
      </w:pPr>
      <w:r>
        <w:rPr>
          <w:rFonts w:ascii="Calibri" w:hAnsi="Calibri"/>
          <w:sz w:val="24"/>
        </w:rPr>
        <w:t xml:space="preserve">• </w:t>
      </w:r>
      <w:r>
        <w:rPr>
          <w:rFonts w:ascii="Calibri" w:hAnsi="Calibri"/>
          <w:sz w:val="24"/>
        </w:rPr>
        <w:t>Multi-site deployment or disaster recovery to secondary datacenter</w:t>
      </w:r>
    </w:p>
    <w:p>
      <w:pPr>
        <w:spacing w:after="80"/>
        <w:ind w:left="360"/>
      </w:pPr>
      <w:r>
        <w:rPr>
          <w:rFonts w:ascii="Calibri" w:hAnsi="Calibri"/>
          <w:sz w:val="24"/>
        </w:rPr>
        <w:t xml:space="preserve">• </w:t>
      </w:r>
      <w:r>
        <w:rPr>
          <w:rFonts w:ascii="Calibri" w:hAnsi="Calibri"/>
          <w:sz w:val="24"/>
        </w:rPr>
        <w:t>Custom connectors for proprietary AI frameworks</w:t>
      </w:r>
    </w:p>
    <w:p>
      <w:pPr>
        <w:spacing w:after="80"/>
        <w:ind w:left="360"/>
      </w:pPr>
      <w:r>
        <w:rPr>
          <w:rFonts w:ascii="Calibri" w:hAnsi="Calibri"/>
          <w:sz w:val="24"/>
        </w:rPr>
        <w:t xml:space="preserve">• </w:t>
      </w:r>
      <w:r>
        <w:rPr>
          <w:rFonts w:ascii="Calibri" w:hAnsi="Calibri"/>
          <w:sz w:val="24"/>
        </w:rPr>
        <w:t>End-user application development or AI product development</w:t>
      </w:r>
    </w:p>
    <w:p>
      <w:pPr>
        <w:spacing w:after="80"/>
        <w:ind w:left="360"/>
      </w:pPr>
      <w:r>
        <w:rPr>
          <w:rFonts w:ascii="Calibri" w:hAnsi="Calibri"/>
          <w:sz w:val="24"/>
        </w:rPr>
        <w:t xml:space="preserve">• </w:t>
      </w:r>
      <w:r>
        <w:rPr>
          <w:rFonts w:ascii="Calibri" w:hAnsi="Calibri"/>
          <w:sz w:val="24"/>
        </w:rPr>
        <w:t>NVIDIA service costs (billed directly by NVIDIA to client)</w:t>
      </w:r>
    </w:p>
    <w:p>
      <w:pPr>
        <w:pStyle w:val="Heading1"/>
        <w:spacing w:before="160" w:after="120"/>
        <w:ind w:left="0"/>
      </w:pPr>
      <w:r>
        <w:t>4 Deliverables &amp; Timeline</w:t>
      </w:r>
    </w:p>
    <w:p>
      <w:r>
        <w:rPr>
          <w:rFonts w:ascii="Calibri" w:hAnsi="Calibri"/>
          <w:sz w:val="24"/>
        </w:rPr>
        <w:t>This section outlines the key deliverables and project timeline for the DGX SuperPOD implementation, providing a clear view of what will be delivered and when stakeholders can expect each milestone to be completed.</w:t>
      </w:r>
    </w:p>
    <w:p>
      <w:pPr>
        <w:pStyle w:val="Heading2"/>
        <w:spacing w:before="240" w:after="120"/>
        <w:ind w:left="0"/>
      </w:pPr>
      <w:r>
        <w:t>4.1 Deliverables</w:t>
      </w:r>
    </w:p>
    <w:p>
      <w:r>
        <w:rPr>
          <w:rFonts w:ascii="Calibri" w:hAnsi="Calibri"/>
          <w:sz w:val="24"/>
        </w:rPr>
        <w:t>The following deliverables will be produced throughout the project lifecycle, with each requiring formal acceptance by the designated stakeholder before proceeding to subsequent phases.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Deliverable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Due Date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Acceptance By</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 Workload Requirements Specification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Document/CSV</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DGX SuperPOD Architecture Document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Datacenter Site Readiness Report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[Facilities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Implementation Plan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Plan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Sponsor]</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DGX SuperPOD Infrastructure (64 GPUs)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InfiniBand Fabric (400 Gbps)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Base Command Storage Platform (1 PB)</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[Storage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 Software Stack (NGC, Frameworks)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Workload Manager (Slurm)</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 Validation Report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Administrator Training Materials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Document/Video</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15</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Scientist Training Materials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Document/Video</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15</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Runbook</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[Ops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As-Built Documentation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Sessions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15-16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Team]</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Project Deliverables and Acceptance Criteria</w:t>
      </w:r>
    </w:p>
    <w:p>
      <w:pPr>
        <w:pStyle w:val="Heading2"/>
        <w:spacing w:before="240" w:after="120"/>
        <w:ind w:left="0"/>
      </w:pPr>
      <w:r>
        <w:t>4.2 Project Milestones</w:t>
      </w:r>
    </w:p>
    <w:p>
      <w:r>
        <w:rPr>
          <w:rFonts w:ascii="Calibri" w:hAnsi="Calibri"/>
          <w:sz w:val="24"/>
        </w:rPr>
        <w:t>The project will be tracked against the following key milestones, which represent critical decision points and phase completions throughout the implementation.</w:t>
      </w:r>
    </w:p>
    <w:tbl>
      <w:tblPr>
        <w:tblStyle w:val="TableGrid"/>
        <w:tblW w:type="auto" w:w="0"/>
        <w:tblLayout w:type="fixed"/>
        <w:tblLook w:firstColumn="1" w:firstRow="1" w:lastColumn="0" w:lastRow="0" w:noHBand="0" w:noVBand="1" w:val="04A0"/>
      </w:tblPr>
      <w:tblGrid>
        <w:gridCol w:w="2880"/>
        <w:gridCol w:w="2880"/>
        <w:gridCol w:w="288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Milestone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Date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M1</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Assessment &amp; Design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M2</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Datacenter Site Ready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Hardware Installation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M4</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InfiniBand Fabric Operational</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M5</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Software Stack Deployed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13</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M6</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 Validation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14</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Go-Live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Launch</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15</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End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Period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19</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Project Milestones and Timeline</w:t>
      </w:r>
    </w:p>
    <w:p>
      <w:pPr>
        <w:pStyle w:val="Heading1"/>
        <w:spacing w:before="160" w:after="120"/>
        <w:ind w:left="0"/>
      </w:pPr>
      <w:r>
        <w:t>5 Roles &amp; Responsibilities</w:t>
      </w:r>
    </w:p>
    <w:p>
      <w:r>
        <w:rPr>
          <w:rFonts w:ascii="Calibri" w:hAnsi="Calibri"/>
          <w:sz w:val="24"/>
        </w:rPr>
        <w:t>This section defines the organizational structure and accountability framework for the DGX SuperPOD implementation, ensuring clear ownership and communication channels throughout the project.</w:t>
      </w:r>
    </w:p>
    <w:p>
      <w:pPr>
        <w:pStyle w:val="Heading2"/>
        <w:spacing w:before="240" w:after="120"/>
        <w:ind w:left="0"/>
      </w:pPr>
      <w:r>
        <w:t>5.1 RACI Matrix</w:t>
      </w:r>
    </w:p>
    <w:p>
      <w:r>
        <w:rPr>
          <w:rFonts w:ascii="Calibri" w:hAnsi="Calibri"/>
          <w:sz w:val="24"/>
        </w:rPr>
        <w:t>The following matrix defines roles and responsibilities for all major project activities using the RACI model (Responsible, Accountable, Consulted, Informed).</w:t>
      </w:r>
    </w:p>
    <w:tbl>
      <w:tblPr>
        <w:tblStyle w:val="TableGrid"/>
        <w:tblW w:type="auto" w:w="0"/>
        <w:tblLayout w:type="fixed"/>
        <w:tblLook w:firstColumn="1" w:firstRow="1" w:lastColumn="0" w:lastRow="0" w:noHBand="0" w:noVBand="1" w:val="04A0"/>
      </w:tblPr>
      <w:tblGrid>
        <w:gridCol w:w="1080"/>
        <w:gridCol w:w="1080"/>
        <w:gridCol w:w="1080"/>
        <w:gridCol w:w="1080"/>
        <w:gridCol w:w="1080"/>
        <w:gridCol w:w="1080"/>
        <w:gridCol w:w="1080"/>
        <w:gridCol w:w="108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Task/Role</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PM</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Quarterback</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Sales Eng</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Eng (Infra)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IT</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AI/ML</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SME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Discovery &amp; Requirements</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DGX Architecture Design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Datacenter Site Prep</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Hardware Installation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InfiniBand Configuration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Software Stack Deployment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 Validation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Configuration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Support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Roles And Responsibilities</w:t>
      </w:r>
    </w:p>
    <w:p>
      <w:r>
        <w:rPr>
          <w:rFonts w:ascii="Calibri" w:hAnsi="Calibri"/>
          <w:b/>
          <w:sz w:val="24"/>
        </w:rPr>
        <w:t>Legend:</w:t>
      </w:r>
      <w:r>
        <w:rPr>
          <w:rFonts w:ascii="Calibri" w:hAnsi="Calibri"/>
          <w:sz w:val="24"/>
        </w:rPr>
        <w:t xml:space="preserve"> R = Responsible | A = Accountable | C = Consulted | I = Informed</w:t>
      </w:r>
    </w:p>
    <w:p>
      <w:pPr>
        <w:pStyle w:val="Heading2"/>
        <w:spacing w:before="240" w:after="120"/>
        <w:ind w:left="0"/>
      </w:pPr>
      <w:r>
        <w:t>5.2 Key Personnel</w:t>
      </w:r>
    </w:p>
    <w:p>
      <w:r>
        <w:rPr>
          <w:rFonts w:ascii="Calibri" w:hAnsi="Calibri"/>
          <w:b/>
          <w:sz w:val="24"/>
        </w:rPr>
        <w:t>Vendor Team:</w:t>
      </w:r>
    </w:p>
    <w:p>
      <w:pPr>
        <w:spacing w:after="80"/>
        <w:ind w:left="360"/>
      </w:pPr>
      <w:r>
        <w:rPr>
          <w:rFonts w:ascii="Calibri" w:hAnsi="Calibri"/>
          <w:sz w:val="24"/>
        </w:rPr>
        <w:t xml:space="preserve">• </w:t>
      </w:r>
      <w:r>
        <w:rPr>
          <w:rFonts w:ascii="Calibri" w:hAnsi="Calibri"/>
          <w:sz w:val="24"/>
        </w:rPr>
        <w:t>EO Project Manager: Overall delivery accountability</w:t>
      </w:r>
    </w:p>
    <w:p>
      <w:pPr>
        <w:spacing w:after="80"/>
        <w:ind w:left="360"/>
      </w:pPr>
      <w:r>
        <w:rPr>
          <w:rFonts w:ascii="Calibri" w:hAnsi="Calibri"/>
          <w:sz w:val="24"/>
        </w:rPr>
        <w:t xml:space="preserve">• </w:t>
      </w:r>
      <w:r>
        <w:rPr>
          <w:rFonts w:ascii="Calibri" w:hAnsi="Calibri"/>
          <w:sz w:val="24"/>
        </w:rPr>
        <w:t>EO Quarterback: Technical design and oversight</w:t>
      </w:r>
    </w:p>
    <w:p>
      <w:pPr>
        <w:spacing w:after="80"/>
        <w:ind w:left="360"/>
      </w:pPr>
      <w:r>
        <w:rPr>
          <w:rFonts w:ascii="Calibri" w:hAnsi="Calibri"/>
          <w:sz w:val="24"/>
        </w:rPr>
        <w:t xml:space="preserve">• </w:t>
      </w:r>
      <w:r>
        <w:rPr>
          <w:rFonts w:ascii="Calibri" w:hAnsi="Calibri"/>
          <w:sz w:val="24"/>
        </w:rPr>
        <w:t>EO Sales Engineer: Solution architecture and pre-sales support</w:t>
      </w:r>
    </w:p>
    <w:p>
      <w:pPr>
        <w:spacing w:after="80"/>
        <w:ind w:left="360"/>
      </w:pPr>
      <w:r>
        <w:rPr>
          <w:rFonts w:ascii="Calibri" w:hAnsi="Calibri"/>
          <w:sz w:val="24"/>
        </w:rPr>
        <w:t xml:space="preserve">• </w:t>
      </w:r>
      <w:r>
        <w:rPr>
          <w:rFonts w:ascii="Calibri" w:hAnsi="Calibri"/>
          <w:sz w:val="24"/>
        </w:rPr>
        <w:t>EO Engineer (Infrastructure): DGX deployment and InfiniBand configuration</w:t>
      </w:r>
    </w:p>
    <w:p>
      <w:r>
        <w:rPr>
          <w:rFonts w:ascii="Calibri" w:hAnsi="Calibri"/>
          <w:b/>
          <w:sz w:val="24"/>
        </w:rPr>
        <w:t>Client Team:</w:t>
      </w:r>
    </w:p>
    <w:p>
      <w:pPr>
        <w:spacing w:after="80"/>
        <w:ind w:left="360"/>
      </w:pPr>
      <w:r>
        <w:rPr>
          <w:rFonts w:ascii="Calibri" w:hAnsi="Calibri"/>
          <w:sz w:val="24"/>
        </w:rPr>
        <w:t xml:space="preserve">• </w:t>
      </w:r>
      <w:r>
        <w:rPr>
          <w:rFonts w:ascii="Calibri" w:hAnsi="Calibri"/>
          <w:sz w:val="24"/>
        </w:rPr>
        <w:t>IT Lead: Primary technical contact and datacenter access management</w:t>
      </w:r>
    </w:p>
    <w:p>
      <w:pPr>
        <w:spacing w:after="80"/>
        <w:ind w:left="360"/>
      </w:pPr>
      <w:r>
        <w:rPr>
          <w:rFonts w:ascii="Calibri" w:hAnsi="Calibri"/>
          <w:sz w:val="24"/>
        </w:rPr>
        <w:t xml:space="preserve">• </w:t>
      </w:r>
      <w:r>
        <w:rPr>
          <w:rFonts w:ascii="Calibri" w:hAnsi="Calibri"/>
          <w:sz w:val="24"/>
        </w:rPr>
        <w:t>AI/ML Lead: Workload requirements and performance validation</w:t>
      </w:r>
    </w:p>
    <w:p>
      <w:pPr>
        <w:spacing w:after="80"/>
        <w:ind w:left="360"/>
      </w:pPr>
      <w:r>
        <w:rPr>
          <w:rFonts w:ascii="Calibri" w:hAnsi="Calibri"/>
          <w:sz w:val="24"/>
        </w:rPr>
        <w:t xml:space="preserve">• </w:t>
      </w:r>
      <w:r>
        <w:rPr>
          <w:rFonts w:ascii="Calibri" w:hAnsi="Calibri"/>
          <w:sz w:val="24"/>
        </w:rPr>
        <w:t>Facilities Lead: Datacenter power, cooling, and physical infrastructure</w:t>
      </w:r>
    </w:p>
    <w:p>
      <w:pPr>
        <w:spacing w:after="80"/>
        <w:ind w:left="360"/>
      </w:pPr>
      <w:r>
        <w:rPr>
          <w:rFonts w:ascii="Calibri" w:hAnsi="Calibri"/>
          <w:sz w:val="24"/>
        </w:rPr>
        <w:t xml:space="preserve">• </w:t>
      </w:r>
      <w:r>
        <w:rPr>
          <w:rFonts w:ascii="Calibri" w:hAnsi="Calibri"/>
          <w:sz w:val="24"/>
        </w:rPr>
        <w:t>Operations Team: Knowledge transfer recipients</w:t>
      </w:r>
    </w:p>
    <w:p>
      <w:pPr>
        <w:pStyle w:val="Heading1"/>
        <w:spacing w:before="160" w:after="120"/>
        <w:ind w:left="0"/>
      </w:pPr>
      <w:r>
        <w:t>6 Architecture &amp; Design</w:t>
      </w:r>
    </w:p>
    <w:p>
      <w:pPr>
        <w:pStyle w:val="Heading2"/>
        <w:spacing w:before="240" w:after="120"/>
        <w:ind w:left="0"/>
      </w:pPr>
      <w:r>
        <w:t>6.1 Architecture Overview</w:t>
      </w:r>
    </w:p>
    <w:p>
      <w:r>
        <w:rPr>
          <w:rFonts w:ascii="Calibri" w:hAnsi="Calibri"/>
          <w:sz w:val="24"/>
        </w:rPr>
        <w:t xml:space="preserve">The NVIDIA DGX SuperPOD solution is designed as a </w:t>
      </w:r>
      <w:r>
        <w:rPr>
          <w:rFonts w:ascii="Calibri" w:hAnsi="Calibri"/>
          <w:b/>
          <w:sz w:val="24"/>
        </w:rPr>
        <w:t>scalable, high-performance AI supercomputing infrastructure</w:t>
      </w:r>
      <w:r>
        <w:rPr>
          <w:rFonts w:ascii="Calibri" w:hAnsi="Calibri"/>
          <w:sz w:val="24"/>
        </w:rPr>
        <w:t xml:space="preserve"> leveraging DGX H100 systems, NVIDIA Quantum-2 InfiniBand networking, and Base Command platform. The architecture provides enterprise-scale GPU performance, ultra-low-latency interconnects, and petabyte-scale storage for large-scale model training.</w:t>
      </w:r>
    </w:p>
    <w:p>
      <w:r>
        <w:rPr>
          <w:rFonts w:ascii="Calibri" w:hAnsi="Calibri"/>
          <w:sz w:val="24"/>
        </w:rPr>
        <w:t xml:space="preserve">This architecture is designed for </w:t>
      </w:r>
      <w:r>
        <w:rPr>
          <w:rFonts w:ascii="Calibri" w:hAnsi="Calibri"/>
          <w:b/>
          <w:sz w:val="24"/>
        </w:rPr>
        <w:t>enterprise AI supercomputing</w:t>
      </w:r>
      <w:r>
        <w:rPr>
          <w:rFonts w:ascii="Calibri" w:hAnsi="Calibri"/>
          <w:sz w:val="24"/>
        </w:rPr>
        <w:t xml:space="preserve"> supporting 50+ data scientists with large-scale model training (100B+ parameter LLMs). The design prioritizes:</w:t>
      </w:r>
    </w:p>
    <w:p>
      <w:pPr>
        <w:spacing w:after="80"/>
        <w:ind w:left="360"/>
      </w:pPr>
      <w:r>
        <w:rPr>
          <w:rFonts w:ascii="Calibri" w:hAnsi="Calibri"/>
          <w:sz w:val="24"/>
        </w:rPr>
        <w:t xml:space="preserve">• </w:t>
      </w:r>
      <w:r>
        <w:rPr>
          <w:rFonts w:ascii="Calibri" w:hAnsi="Calibri"/>
          <w:b/>
          <w:sz w:val="24"/>
        </w:rPr>
        <w:t>Raw Performance:</w:t>
      </w:r>
      <w:r>
        <w:rPr>
          <w:rFonts w:ascii="Calibri" w:hAnsi="Calibri"/>
          <w:sz w:val="24"/>
        </w:rPr>
        <w:t xml:space="preserve"> 32 petaFLOPS FP8 compute for fastest training times</w:t>
      </w:r>
    </w:p>
    <w:p>
      <w:pPr>
        <w:spacing w:after="80"/>
        <w:ind w:left="360"/>
      </w:pPr>
      <w:r>
        <w:rPr>
          <w:rFonts w:ascii="Calibri" w:hAnsi="Calibri"/>
          <w:sz w:val="24"/>
        </w:rPr>
        <w:t xml:space="preserve">• </w:t>
      </w:r>
      <w:r>
        <w:rPr>
          <w:rFonts w:ascii="Calibri" w:hAnsi="Calibri"/>
          <w:b/>
          <w:sz w:val="24"/>
        </w:rPr>
        <w:t>Scalability:</w:t>
      </w:r>
      <w:r>
        <w:rPr>
          <w:rFonts w:ascii="Calibri" w:hAnsi="Calibri"/>
          <w:sz w:val="24"/>
        </w:rPr>
        <w:t xml:space="preserve"> Multi-node distributed training with near-linear scaling to 64 GPUs</w:t>
      </w:r>
    </w:p>
    <w:p>
      <w:pPr>
        <w:spacing w:after="80"/>
        <w:ind w:left="360"/>
      </w:pPr>
      <w:r>
        <w:rPr>
          <w:rFonts w:ascii="Calibri" w:hAnsi="Calibri"/>
          <w:sz w:val="24"/>
        </w:rPr>
        <w:t xml:space="preserve">• </w:t>
      </w:r>
      <w:r>
        <w:rPr>
          <w:rFonts w:ascii="Calibri" w:hAnsi="Calibri"/>
          <w:b/>
          <w:sz w:val="24"/>
        </w:rPr>
        <w:t>Efficiency:</w:t>
      </w:r>
      <w:r>
        <w:rPr>
          <w:rFonts w:ascii="Calibri" w:hAnsi="Calibri"/>
          <w:sz w:val="24"/>
        </w:rPr>
        <w:t xml:space="preserve"> NVIDIA-validated reference architecture with optimized software stack</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3077083" cy="3657600"/>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9"/>
                          <a:stretch>
                            <a:fillRect/>
                          </a:stretch>
                        </pic:blipFill>
                        <pic:spPr>
                          <a:xfrm>
                            <a:off x="0" y="0"/>
                            <a:ext cx="3077083" cy="3657600"/>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Solution Architecture Diagram</w:t>
      </w:r>
    </w:p>
    <w:p>
      <w:r>
        <w:rPr>
          <w:rFonts w:ascii="Calibri" w:hAnsi="Calibri"/>
          <w:b/>
          <w:sz w:val="24"/>
        </w:rPr>
        <w:t>Figure 1: Solution Architecture Diagram</w:t>
      </w:r>
      <w:r>
        <w:rPr>
          <w:rFonts w:ascii="Calibri" w:hAnsi="Calibri"/>
          <w:sz w:val="24"/>
        </w:rPr>
        <w:t xml:space="preserve"> - High-level overview of the NVIDIA DGX SuperPOD infrastructure architecture</w:t>
      </w:r>
    </w:p>
    <w:p>
      <w:pPr>
        <w:pStyle w:val="Heading2"/>
        <w:spacing w:before="240" w:after="120"/>
        <w:ind w:left="0"/>
      </w:pPr>
      <w:r>
        <w:t>6.2 Architecture Type</w:t>
      </w:r>
    </w:p>
    <w:p>
      <w:r>
        <w:rPr>
          <w:rFonts w:ascii="Calibri" w:hAnsi="Calibri"/>
          <w:sz w:val="24"/>
        </w:rPr>
        <w:t>The deployment follows a DGX SuperPOD reference architecture with InfiniBand fabric networking. This approach enables:</w:t>
      </w:r>
    </w:p>
    <w:p>
      <w:pPr>
        <w:spacing w:after="80"/>
        <w:ind w:left="360"/>
      </w:pPr>
      <w:r>
        <w:rPr>
          <w:rFonts w:ascii="Calibri" w:hAnsi="Calibri"/>
          <w:sz w:val="24"/>
        </w:rPr>
        <w:t xml:space="preserve">• </w:t>
      </w:r>
      <w:r>
        <w:rPr>
          <w:rFonts w:ascii="Calibri" w:hAnsi="Calibri"/>
          <w:sz w:val="24"/>
        </w:rPr>
        <w:t>Ultra-low-latency GPU-to-GPU communication (&lt;2 microseconds)</w:t>
      </w:r>
    </w:p>
    <w:p>
      <w:pPr>
        <w:spacing w:after="80"/>
        <w:ind w:left="360"/>
      </w:pPr>
      <w:r>
        <w:rPr>
          <w:rFonts w:ascii="Calibri" w:hAnsi="Calibri"/>
          <w:sz w:val="24"/>
        </w:rPr>
        <w:t xml:space="preserve">• </w:t>
      </w:r>
      <w:r>
        <w:rPr>
          <w:rFonts w:ascii="Calibri" w:hAnsi="Calibri"/>
          <w:sz w:val="24"/>
        </w:rPr>
        <w:t>Near-linear scaling for distributed training workloads</w:t>
      </w:r>
    </w:p>
    <w:p>
      <w:pPr>
        <w:spacing w:after="80"/>
        <w:ind w:left="360"/>
      </w:pPr>
      <w:r>
        <w:rPr>
          <w:rFonts w:ascii="Calibri" w:hAnsi="Calibri"/>
          <w:sz w:val="24"/>
        </w:rPr>
        <w:t xml:space="preserve">• </w:t>
      </w:r>
      <w:r>
        <w:rPr>
          <w:rFonts w:ascii="Calibri" w:hAnsi="Calibri"/>
          <w:sz w:val="24"/>
        </w:rPr>
        <w:t>High-bandwidth storage access (14 GB/s sustained throughput)</w:t>
      </w:r>
    </w:p>
    <w:p>
      <w:pPr>
        <w:spacing w:after="80"/>
        <w:ind w:left="360"/>
      </w:pPr>
      <w:r>
        <w:rPr>
          <w:rFonts w:ascii="Calibri" w:hAnsi="Calibri"/>
          <w:sz w:val="24"/>
        </w:rPr>
        <w:t xml:space="preserve">• </w:t>
      </w:r>
      <w:r>
        <w:rPr>
          <w:rFonts w:ascii="Calibri" w:hAnsi="Calibri"/>
          <w:sz w:val="24"/>
        </w:rPr>
        <w:t>Enterprise-grade reliability and availability (99.5% uptime)</w:t>
      </w:r>
    </w:p>
    <w:p>
      <w:r>
        <w:rPr>
          <w:rFonts w:ascii="Calibri" w:hAnsi="Calibri"/>
          <w:sz w:val="24"/>
        </w:rPr>
        <w:t>Key architectural components include:</w:t>
      </w:r>
    </w:p>
    <w:p>
      <w:pPr>
        <w:spacing w:after="80"/>
        <w:ind w:left="360"/>
      </w:pPr>
      <w:r>
        <w:rPr>
          <w:rFonts w:ascii="Calibri" w:hAnsi="Calibri"/>
          <w:sz w:val="24"/>
        </w:rPr>
        <w:t xml:space="preserve">• </w:t>
      </w:r>
      <w:r>
        <w:rPr>
          <w:rFonts w:ascii="Calibri" w:hAnsi="Calibri"/>
          <w:sz w:val="24"/>
        </w:rPr>
        <w:t>Compute Layer (8x DGX H100 systems with 64 H100 80GB GPUs)</w:t>
      </w:r>
    </w:p>
    <w:p>
      <w:pPr>
        <w:spacing w:after="80"/>
        <w:ind w:left="360"/>
      </w:pPr>
      <w:r>
        <w:rPr>
          <w:rFonts w:ascii="Calibri" w:hAnsi="Calibri"/>
          <w:sz w:val="24"/>
        </w:rPr>
        <w:t xml:space="preserve">• </w:t>
      </w:r>
      <w:r>
        <w:rPr>
          <w:rFonts w:ascii="Calibri" w:hAnsi="Calibri"/>
          <w:sz w:val="24"/>
        </w:rPr>
        <w:t>Networking Layer (NVIDIA Quantum-2 InfiniBand 400 Gbps fabric)</w:t>
      </w:r>
    </w:p>
    <w:p>
      <w:pPr>
        <w:spacing w:after="80"/>
        <w:ind w:left="360"/>
      </w:pPr>
      <w:r>
        <w:rPr>
          <w:rFonts w:ascii="Calibri" w:hAnsi="Calibri"/>
          <w:sz w:val="24"/>
        </w:rPr>
        <w:t xml:space="preserve">• </w:t>
      </w:r>
      <w:r>
        <w:rPr>
          <w:rFonts w:ascii="Calibri" w:hAnsi="Calibri"/>
          <w:sz w:val="24"/>
        </w:rPr>
        <w:t>Storage Layer (NVIDIA Base Command with 1 PB NVMe all-flash)</w:t>
      </w:r>
    </w:p>
    <w:p>
      <w:pPr>
        <w:spacing w:after="80"/>
        <w:ind w:left="360"/>
      </w:pPr>
      <w:r>
        <w:rPr>
          <w:rFonts w:ascii="Calibri" w:hAnsi="Calibri"/>
          <w:sz w:val="24"/>
        </w:rPr>
        <w:t xml:space="preserve">• </w:t>
      </w:r>
      <w:r>
        <w:rPr>
          <w:rFonts w:ascii="Calibri" w:hAnsi="Calibri"/>
          <w:sz w:val="24"/>
        </w:rPr>
        <w:t>Software Layer (DGX OS, NGC containers, AI frameworks)</w:t>
      </w:r>
    </w:p>
    <w:p>
      <w:pPr>
        <w:spacing w:after="80"/>
        <w:ind w:left="360"/>
      </w:pPr>
      <w:r>
        <w:rPr>
          <w:rFonts w:ascii="Calibri" w:hAnsi="Calibri"/>
          <w:sz w:val="24"/>
        </w:rPr>
        <w:t xml:space="preserve">• </w:t>
      </w:r>
      <w:r>
        <w:rPr>
          <w:rFonts w:ascii="Calibri" w:hAnsi="Calibri"/>
          <w:sz w:val="24"/>
        </w:rPr>
        <w:t>Management Layer (Slurm scheduler, monitoring, user management)</w:t>
      </w:r>
    </w:p>
    <w:p>
      <w:pPr>
        <w:pStyle w:val="Heading2"/>
        <w:spacing w:before="240" w:after="120"/>
        <w:ind w:left="0"/>
      </w:pPr>
      <w:r>
        <w:t>6.3 Scope Specifications</w:t>
      </w:r>
    </w:p>
    <w:p>
      <w:r>
        <w:rPr>
          <w:rFonts w:ascii="Calibri" w:hAnsi="Calibri"/>
          <w:b/>
          <w:sz w:val="24"/>
        </w:rPr>
        <w:t>Compute &amp; GPU Performance:</w:t>
      </w:r>
    </w:p>
    <w:p>
      <w:pPr>
        <w:spacing w:after="80"/>
        <w:ind w:left="360"/>
      </w:pPr>
      <w:r>
        <w:rPr>
          <w:rFonts w:ascii="Calibri" w:hAnsi="Calibri"/>
          <w:sz w:val="24"/>
        </w:rPr>
        <w:t xml:space="preserve">• </w:t>
      </w:r>
      <w:r>
        <w:rPr>
          <w:rFonts w:ascii="Calibri" w:hAnsi="Calibri"/>
          <w:sz w:val="24"/>
        </w:rPr>
        <w:t>8x DGX H100 systems (64x H100 80GB GPUs total)</w:t>
      </w:r>
    </w:p>
    <w:p>
      <w:pPr>
        <w:spacing w:after="80"/>
        <w:ind w:left="360"/>
      </w:pPr>
      <w:r>
        <w:rPr>
          <w:rFonts w:ascii="Calibri" w:hAnsi="Calibri"/>
          <w:sz w:val="24"/>
        </w:rPr>
        <w:t xml:space="preserve">• </w:t>
      </w:r>
      <w:r>
        <w:rPr>
          <w:rFonts w:ascii="Calibri" w:hAnsi="Calibri"/>
          <w:sz w:val="24"/>
        </w:rPr>
        <w:t>32 petaFLOPS FP8 AI performance, 4096 Tensor Cores</w:t>
      </w:r>
    </w:p>
    <w:p>
      <w:pPr>
        <w:spacing w:after="80"/>
        <w:ind w:left="360"/>
      </w:pPr>
      <w:r>
        <w:rPr>
          <w:rFonts w:ascii="Calibri" w:hAnsi="Calibri"/>
          <w:sz w:val="24"/>
        </w:rPr>
        <w:t xml:space="preserve">• </w:t>
      </w:r>
      <w:r>
        <w:rPr>
          <w:rFonts w:ascii="Calibri" w:hAnsi="Calibri"/>
          <w:sz w:val="24"/>
        </w:rPr>
        <w:t>5.1 TB total GPU memory (80 GB × 64 GPUs)</w:t>
      </w:r>
    </w:p>
    <w:p>
      <w:pPr>
        <w:spacing w:after="80"/>
        <w:ind w:left="360"/>
      </w:pPr>
      <w:r>
        <w:rPr>
          <w:rFonts w:ascii="Calibri" w:hAnsi="Calibri"/>
          <w:sz w:val="24"/>
        </w:rPr>
        <w:t xml:space="preserve">• </w:t>
      </w:r>
      <w:r>
        <w:rPr>
          <w:rFonts w:ascii="Calibri" w:hAnsi="Calibri"/>
          <w:sz w:val="24"/>
        </w:rPr>
        <w:t>128x Intel Xeon Platinum CPUs (16 per DGX)</w:t>
      </w:r>
    </w:p>
    <w:p>
      <w:pPr>
        <w:spacing w:after="80"/>
        <w:ind w:left="360"/>
      </w:pPr>
      <w:r>
        <w:rPr>
          <w:rFonts w:ascii="Calibri" w:hAnsi="Calibri"/>
          <w:sz w:val="24"/>
        </w:rPr>
        <w:t xml:space="preserve">• </w:t>
      </w:r>
      <w:r>
        <w:rPr>
          <w:rFonts w:ascii="Calibri" w:hAnsi="Calibri"/>
          <w:sz w:val="24"/>
        </w:rPr>
        <w:t>16 TB total system memory (2 TB DDR5 per DGX)</w:t>
      </w:r>
    </w:p>
    <w:p>
      <w:r>
        <w:rPr>
          <w:rFonts w:ascii="Calibri" w:hAnsi="Calibri"/>
          <w:b/>
          <w:sz w:val="24"/>
        </w:rPr>
        <w:t>Networking &amp; Interconnect:</w:t>
      </w:r>
    </w:p>
    <w:p>
      <w:pPr>
        <w:spacing w:after="80"/>
        <w:ind w:left="360"/>
      </w:pPr>
      <w:r>
        <w:rPr>
          <w:rFonts w:ascii="Calibri" w:hAnsi="Calibri"/>
          <w:sz w:val="24"/>
        </w:rPr>
        <w:t xml:space="preserve">• </w:t>
      </w:r>
      <w:r>
        <w:rPr>
          <w:rFonts w:ascii="Calibri" w:hAnsi="Calibri"/>
          <w:sz w:val="24"/>
        </w:rPr>
        <w:t>NVIDIA Quantum-2 InfiniBand switches (4x 400 Gbps switches)</w:t>
      </w:r>
    </w:p>
    <w:p>
      <w:pPr>
        <w:spacing w:after="80"/>
        <w:ind w:left="360"/>
      </w:pPr>
      <w:r>
        <w:rPr>
          <w:rFonts w:ascii="Calibri" w:hAnsi="Calibri"/>
          <w:sz w:val="24"/>
        </w:rPr>
        <w:t xml:space="preserve">• </w:t>
      </w:r>
      <w:r>
        <w:rPr>
          <w:rFonts w:ascii="Calibri" w:hAnsi="Calibri"/>
          <w:sz w:val="24"/>
        </w:rPr>
        <w:t>3.2 Tbps aggregate bisection bandwidth</w:t>
      </w:r>
    </w:p>
    <w:p>
      <w:pPr>
        <w:spacing w:after="80"/>
        <w:ind w:left="360"/>
      </w:pPr>
      <w:r>
        <w:rPr>
          <w:rFonts w:ascii="Calibri" w:hAnsi="Calibri"/>
          <w:sz w:val="24"/>
        </w:rPr>
        <w:t xml:space="preserve">• </w:t>
      </w:r>
      <w:r>
        <w:rPr>
          <w:rFonts w:ascii="Calibri" w:hAnsi="Calibri"/>
          <w:sz w:val="24"/>
        </w:rPr>
        <w:t>&lt;2 microsecond GPU-to-GPU latency via RDMA</w:t>
      </w:r>
    </w:p>
    <w:p>
      <w:pPr>
        <w:spacing w:after="80"/>
        <w:ind w:left="360"/>
      </w:pPr>
      <w:r>
        <w:rPr>
          <w:rFonts w:ascii="Calibri" w:hAnsi="Calibri"/>
          <w:sz w:val="24"/>
        </w:rPr>
        <w:t xml:space="preserve">• </w:t>
      </w:r>
      <w:r>
        <w:rPr>
          <w:rFonts w:ascii="Calibri" w:hAnsi="Calibri"/>
          <w:sz w:val="24"/>
        </w:rPr>
        <w:t>Redundant InfiniBand connections per DGX for fault tolerance</w:t>
      </w:r>
    </w:p>
    <w:p>
      <w:pPr>
        <w:spacing w:after="80"/>
        <w:ind w:left="360"/>
      </w:pPr>
      <w:r>
        <w:rPr>
          <w:rFonts w:ascii="Calibri" w:hAnsi="Calibri"/>
          <w:sz w:val="24"/>
        </w:rPr>
        <w:t xml:space="preserve">• </w:t>
      </w:r>
      <w:r>
        <w:rPr>
          <w:rFonts w:ascii="Calibri" w:hAnsi="Calibri"/>
          <w:sz w:val="24"/>
        </w:rPr>
        <w:t>100 GbE management network for out-of-band access</w:t>
      </w:r>
    </w:p>
    <w:p>
      <w:r>
        <w:rPr>
          <w:rFonts w:ascii="Calibri" w:hAnsi="Calibri"/>
          <w:b/>
          <w:sz w:val="24"/>
        </w:rPr>
        <w:t>Storage &amp; Data:</w:t>
      </w:r>
    </w:p>
    <w:p>
      <w:pPr>
        <w:spacing w:after="80"/>
        <w:ind w:left="360"/>
      </w:pPr>
      <w:r>
        <w:rPr>
          <w:rFonts w:ascii="Calibri" w:hAnsi="Calibri"/>
          <w:sz w:val="24"/>
        </w:rPr>
        <w:t xml:space="preserve">• </w:t>
      </w:r>
      <w:r>
        <w:rPr>
          <w:rFonts w:ascii="Calibri" w:hAnsi="Calibri"/>
          <w:sz w:val="24"/>
        </w:rPr>
        <w:t>NVIDIA Base Command with 1 PB NVMe all-flash storage</w:t>
      </w:r>
    </w:p>
    <w:p>
      <w:pPr>
        <w:spacing w:after="80"/>
        <w:ind w:left="360"/>
      </w:pPr>
      <w:r>
        <w:rPr>
          <w:rFonts w:ascii="Calibri" w:hAnsi="Calibri"/>
          <w:sz w:val="24"/>
        </w:rPr>
        <w:t xml:space="preserve">• </w:t>
      </w:r>
      <w:r>
        <w:rPr>
          <w:rFonts w:ascii="Calibri" w:hAnsi="Calibri"/>
          <w:sz w:val="24"/>
        </w:rPr>
        <w:t>14 GB/s sustained read/write throughput</w:t>
      </w:r>
    </w:p>
    <w:p>
      <w:pPr>
        <w:spacing w:after="80"/>
        <w:ind w:left="360"/>
      </w:pPr>
      <w:r>
        <w:rPr>
          <w:rFonts w:ascii="Calibri" w:hAnsi="Calibri"/>
          <w:sz w:val="24"/>
        </w:rPr>
        <w:t xml:space="preserve">• </w:t>
      </w:r>
      <w:r>
        <w:rPr>
          <w:rFonts w:ascii="Calibri" w:hAnsi="Calibri"/>
          <w:sz w:val="24"/>
        </w:rPr>
        <w:t>GPUDirect Storage for direct GPU-to-storage transfers</w:t>
      </w:r>
    </w:p>
    <w:p>
      <w:pPr>
        <w:spacing w:after="80"/>
        <w:ind w:left="360"/>
      </w:pPr>
      <w:r>
        <w:rPr>
          <w:rFonts w:ascii="Calibri" w:hAnsi="Calibri"/>
          <w:sz w:val="24"/>
        </w:rPr>
        <w:t xml:space="preserve">• </w:t>
      </w:r>
      <w:r>
        <w:rPr>
          <w:rFonts w:ascii="Calibri" w:hAnsi="Calibri"/>
          <w:sz w:val="24"/>
        </w:rPr>
        <w:t>RAID 6 protection with hot spare capacity</w:t>
      </w:r>
    </w:p>
    <w:p>
      <w:pPr>
        <w:spacing w:after="80"/>
        <w:ind w:left="360"/>
      </w:pPr>
      <w:r>
        <w:rPr>
          <w:rFonts w:ascii="Calibri" w:hAnsi="Calibri"/>
          <w:sz w:val="24"/>
        </w:rPr>
        <w:t xml:space="preserve">• </w:t>
      </w:r>
      <w:r>
        <w:rPr>
          <w:rFonts w:ascii="Calibri" w:hAnsi="Calibri"/>
          <w:sz w:val="24"/>
        </w:rPr>
        <w:t>Parallel file system optimized for large dataset access</w:t>
      </w:r>
    </w:p>
    <w:p>
      <w:r>
        <w:rPr>
          <w:rFonts w:ascii="Calibri" w:hAnsi="Calibri"/>
          <w:b/>
          <w:sz w:val="24"/>
        </w:rPr>
        <w:t>Software Stack:</w:t>
      </w:r>
    </w:p>
    <w:p>
      <w:pPr>
        <w:spacing w:after="80"/>
        <w:ind w:left="360"/>
      </w:pPr>
      <w:r>
        <w:rPr>
          <w:rFonts w:ascii="Calibri" w:hAnsi="Calibri"/>
          <w:sz w:val="24"/>
        </w:rPr>
        <w:t xml:space="preserve">• </w:t>
      </w:r>
      <w:r>
        <w:rPr>
          <w:rFonts w:ascii="Calibri" w:hAnsi="Calibri"/>
          <w:sz w:val="24"/>
        </w:rPr>
        <w:t>DGX OS (optimized Ubuntu-based Linux)</w:t>
      </w:r>
    </w:p>
    <w:p>
      <w:pPr>
        <w:spacing w:after="80"/>
        <w:ind w:left="360"/>
      </w:pPr>
      <w:r>
        <w:rPr>
          <w:rFonts w:ascii="Calibri" w:hAnsi="Calibri"/>
          <w:sz w:val="24"/>
        </w:rPr>
        <w:t xml:space="preserve">• </w:t>
      </w:r>
      <w:r>
        <w:rPr>
          <w:rFonts w:ascii="Calibri" w:hAnsi="Calibri"/>
          <w:sz w:val="24"/>
        </w:rPr>
        <w:t>NGC catalog with 100+ optimized AI containers</w:t>
      </w:r>
    </w:p>
    <w:p>
      <w:pPr>
        <w:spacing w:after="80"/>
        <w:ind w:left="360"/>
      </w:pPr>
      <w:r>
        <w:rPr>
          <w:rFonts w:ascii="Calibri" w:hAnsi="Calibri"/>
          <w:sz w:val="24"/>
        </w:rPr>
        <w:t xml:space="preserve">• </w:t>
      </w:r>
      <w:r>
        <w:rPr>
          <w:rFonts w:ascii="Calibri" w:hAnsi="Calibri"/>
          <w:sz w:val="24"/>
        </w:rPr>
        <w:t>AI frameworks: PyTorch, TensorFlow, JAX, RAPIDS</w:t>
      </w:r>
    </w:p>
    <w:p>
      <w:pPr>
        <w:spacing w:after="80"/>
        <w:ind w:left="360"/>
      </w:pPr>
      <w:r>
        <w:rPr>
          <w:rFonts w:ascii="Calibri" w:hAnsi="Calibri"/>
          <w:sz w:val="24"/>
        </w:rPr>
        <w:t xml:space="preserve">• </w:t>
      </w:r>
      <w:r>
        <w:rPr>
          <w:rFonts w:ascii="Calibri" w:hAnsi="Calibri"/>
          <w:sz w:val="24"/>
        </w:rPr>
        <w:t>NCCL for multi-GPU communication</w:t>
      </w:r>
    </w:p>
    <w:p>
      <w:pPr>
        <w:spacing w:after="80"/>
        <w:ind w:left="360"/>
      </w:pPr>
      <w:r>
        <w:rPr>
          <w:rFonts w:ascii="Calibri" w:hAnsi="Calibri"/>
          <w:sz w:val="24"/>
        </w:rPr>
        <w:t xml:space="preserve">• </w:t>
      </w:r>
      <w:r>
        <w:rPr>
          <w:rFonts w:ascii="Calibri" w:hAnsi="Calibri"/>
          <w:sz w:val="24"/>
        </w:rPr>
        <w:t>Slurm workload manager for job scheduling</w:t>
      </w:r>
    </w:p>
    <w:p>
      <w:pPr>
        <w:spacing w:after="80"/>
        <w:ind w:left="360"/>
      </w:pPr>
      <w:r>
        <w:rPr>
          <w:rFonts w:ascii="Calibri" w:hAnsi="Calibri"/>
          <w:sz w:val="24"/>
        </w:rPr>
        <w:t xml:space="preserve">• </w:t>
      </w:r>
      <w:r>
        <w:rPr>
          <w:rFonts w:ascii="Calibri" w:hAnsi="Calibri"/>
          <w:sz w:val="24"/>
        </w:rPr>
        <w:t>Triton Inference Server for production deployment</w:t>
      </w:r>
    </w:p>
    <w:p>
      <w:r>
        <w:rPr>
          <w:rFonts w:ascii="Calibri" w:hAnsi="Calibri"/>
          <w:b/>
          <w:sz w:val="24"/>
        </w:rPr>
        <w:t>Monitoring &amp; Operations:</w:t>
      </w:r>
    </w:p>
    <w:p>
      <w:pPr>
        <w:spacing w:after="80"/>
        <w:ind w:left="360"/>
      </w:pPr>
      <w:r>
        <w:rPr>
          <w:rFonts w:ascii="Calibri" w:hAnsi="Calibri"/>
          <w:sz w:val="24"/>
        </w:rPr>
        <w:t xml:space="preserve">• </w:t>
      </w:r>
      <w:r>
        <w:rPr>
          <w:rFonts w:ascii="Calibri" w:hAnsi="Calibri"/>
          <w:sz w:val="24"/>
        </w:rPr>
        <w:t>NVIDIA DCGM for GPU health monitoring</w:t>
      </w:r>
    </w:p>
    <w:p>
      <w:pPr>
        <w:spacing w:after="80"/>
        <w:ind w:left="360"/>
      </w:pPr>
      <w:r>
        <w:rPr>
          <w:rFonts w:ascii="Calibri" w:hAnsi="Calibri"/>
          <w:sz w:val="24"/>
        </w:rPr>
        <w:t xml:space="preserve">• </w:t>
      </w:r>
      <w:r>
        <w:rPr>
          <w:rFonts w:ascii="Calibri" w:hAnsi="Calibri"/>
          <w:sz w:val="24"/>
        </w:rPr>
        <w:t>Prometheus + Grafana for metrics and dashboards</w:t>
      </w:r>
    </w:p>
    <w:p>
      <w:pPr>
        <w:spacing w:after="80"/>
        <w:ind w:left="360"/>
      </w:pPr>
      <w:r>
        <w:rPr>
          <w:rFonts w:ascii="Calibri" w:hAnsi="Calibri"/>
          <w:sz w:val="24"/>
        </w:rPr>
        <w:t xml:space="preserve">• </w:t>
      </w:r>
      <w:r>
        <w:rPr>
          <w:rFonts w:ascii="Calibri" w:hAnsi="Calibri"/>
          <w:sz w:val="24"/>
        </w:rPr>
        <w:t>Centralized logging with Elasticsearch</w:t>
      </w:r>
    </w:p>
    <w:p>
      <w:pPr>
        <w:spacing w:after="80"/>
        <w:ind w:left="360"/>
      </w:pPr>
      <w:r>
        <w:rPr>
          <w:rFonts w:ascii="Calibri" w:hAnsi="Calibri"/>
          <w:sz w:val="24"/>
        </w:rPr>
        <w:t xml:space="preserve">• </w:t>
      </w:r>
      <w:r>
        <w:rPr>
          <w:rFonts w:ascii="Calibri" w:hAnsi="Calibri"/>
          <w:sz w:val="24"/>
        </w:rPr>
        <w:t>Automated alerting for hardware failures</w:t>
      </w:r>
    </w:p>
    <w:p>
      <w:pPr>
        <w:spacing w:after="80"/>
        <w:ind w:left="360"/>
      </w:pPr>
      <w:r>
        <w:rPr>
          <w:rFonts w:ascii="Calibri" w:hAnsi="Calibri"/>
          <w:sz w:val="24"/>
        </w:rPr>
        <w:t xml:space="preserve">• </w:t>
      </w:r>
      <w:r>
        <w:rPr>
          <w:rFonts w:ascii="Calibri" w:hAnsi="Calibri"/>
          <w:sz w:val="24"/>
        </w:rPr>
        <w:t>Performance profiling tools (Nsight Systems, Nsight Compute)</w:t>
      </w:r>
    </w:p>
    <w:p>
      <w:r>
        <w:rPr>
          <w:rFonts w:ascii="Calibri" w:hAnsi="Calibri"/>
          <w:b/>
          <w:sz w:val="24"/>
        </w:rPr>
        <w:t>Scalability Path:</w:t>
      </w:r>
    </w:p>
    <w:p>
      <w:pPr>
        <w:spacing w:after="80"/>
        <w:ind w:left="360"/>
      </w:pPr>
      <w:r>
        <w:rPr>
          <w:rFonts w:ascii="Calibri" w:hAnsi="Calibri"/>
          <w:sz w:val="24"/>
        </w:rPr>
        <w:t xml:space="preserve">• </w:t>
      </w:r>
      <w:r>
        <w:rPr>
          <w:rFonts w:ascii="Calibri" w:hAnsi="Calibri"/>
          <w:sz w:val="24"/>
        </w:rPr>
        <w:t>Current: 8 DGX systems (64 GPUs, 32 petaFLOPS)</w:t>
      </w:r>
    </w:p>
    <w:p>
      <w:pPr>
        <w:spacing w:after="80"/>
        <w:ind w:left="360"/>
      </w:pPr>
      <w:r>
        <w:rPr>
          <w:rFonts w:ascii="Calibri" w:hAnsi="Calibri"/>
          <w:sz w:val="24"/>
        </w:rPr>
        <w:t xml:space="preserve">• </w:t>
      </w:r>
      <w:r>
        <w:rPr>
          <w:rFonts w:ascii="Calibri" w:hAnsi="Calibri"/>
          <w:sz w:val="24"/>
        </w:rPr>
        <w:t>Expand to 16 DGX systems (128 GPUs, 64 petaFLOPS) with additional InfiniBand switches</w:t>
      </w:r>
    </w:p>
    <w:p>
      <w:pPr>
        <w:spacing w:after="80"/>
        <w:ind w:left="360"/>
      </w:pPr>
      <w:r>
        <w:rPr>
          <w:rFonts w:ascii="Calibri" w:hAnsi="Calibri"/>
          <w:sz w:val="24"/>
        </w:rPr>
        <w:t xml:space="preserve">• </w:t>
      </w:r>
      <w:r>
        <w:rPr>
          <w:rFonts w:ascii="Calibri" w:hAnsi="Calibri"/>
          <w:sz w:val="24"/>
        </w:rPr>
        <w:t>Add GPUs to existing DGX chassis as next-gen GPUs release</w:t>
      </w:r>
    </w:p>
    <w:p>
      <w:pPr>
        <w:spacing w:after="80"/>
        <w:ind w:left="360"/>
      </w:pPr>
      <w:r>
        <w:rPr>
          <w:rFonts w:ascii="Calibri" w:hAnsi="Calibri"/>
          <w:sz w:val="24"/>
        </w:rPr>
        <w:t xml:space="preserve">• </w:t>
      </w:r>
      <w:r>
        <w:rPr>
          <w:rFonts w:ascii="Calibri" w:hAnsi="Calibri"/>
          <w:sz w:val="24"/>
        </w:rPr>
        <w:t>Scale storage from 1 PB to 10 PB+ as dataset requirements grow</w:t>
      </w:r>
    </w:p>
    <w:p>
      <w:pPr>
        <w:pStyle w:val="Heading2"/>
        <w:spacing w:before="240" w:after="120"/>
        <w:ind w:left="0"/>
      </w:pPr>
      <w:r>
        <w:t>6.4 Application Hosting</w:t>
      </w:r>
    </w:p>
    <w:p>
      <w:r>
        <w:rPr>
          <w:rFonts w:ascii="Calibri" w:hAnsi="Calibri"/>
          <w:sz w:val="24"/>
        </w:rPr>
        <w:t>All AI workloads will be hosted using containerized frameworks on DGX systems:</w:t>
      </w:r>
    </w:p>
    <w:p>
      <w:pPr>
        <w:spacing w:after="80"/>
        <w:ind w:left="360"/>
      </w:pPr>
      <w:r>
        <w:rPr>
          <w:rFonts w:ascii="Calibri" w:hAnsi="Calibri"/>
          <w:sz w:val="24"/>
        </w:rPr>
        <w:t xml:space="preserve">• </w:t>
      </w:r>
      <w:r>
        <w:rPr>
          <w:rFonts w:ascii="Calibri" w:hAnsi="Calibri"/>
          <w:sz w:val="24"/>
        </w:rPr>
        <w:t>NGC containers for AI frameworks (PyTorch, TensorFlow, JAX)</w:t>
      </w:r>
    </w:p>
    <w:p>
      <w:pPr>
        <w:spacing w:after="80"/>
        <w:ind w:left="360"/>
      </w:pPr>
      <w:r>
        <w:rPr>
          <w:rFonts w:ascii="Calibri" w:hAnsi="Calibri"/>
          <w:sz w:val="24"/>
        </w:rPr>
        <w:t xml:space="preserve">• </w:t>
      </w:r>
      <w:r>
        <w:rPr>
          <w:rFonts w:ascii="Calibri" w:hAnsi="Calibri"/>
          <w:sz w:val="24"/>
        </w:rPr>
        <w:t>Kubernetes for production inference workloads (optional)</w:t>
      </w:r>
    </w:p>
    <w:p>
      <w:pPr>
        <w:spacing w:after="80"/>
        <w:ind w:left="360"/>
      </w:pPr>
      <w:r>
        <w:rPr>
          <w:rFonts w:ascii="Calibri" w:hAnsi="Calibri"/>
          <w:sz w:val="24"/>
        </w:rPr>
        <w:t xml:space="preserve">• </w:t>
      </w:r>
      <w:r>
        <w:rPr>
          <w:rFonts w:ascii="Calibri" w:hAnsi="Calibri"/>
          <w:sz w:val="24"/>
        </w:rPr>
        <w:t>Slurm for batch training job management</w:t>
      </w:r>
    </w:p>
    <w:p>
      <w:pPr>
        <w:spacing w:after="80"/>
        <w:ind w:left="360"/>
      </w:pPr>
      <w:r>
        <w:rPr>
          <w:rFonts w:ascii="Calibri" w:hAnsi="Calibri"/>
          <w:sz w:val="24"/>
        </w:rPr>
        <w:t xml:space="preserve">• </w:t>
      </w:r>
      <w:r>
        <w:rPr>
          <w:rFonts w:ascii="Calibri" w:hAnsi="Calibri"/>
          <w:sz w:val="24"/>
        </w:rPr>
        <w:t>JupyterHub for interactive development environments</w:t>
      </w:r>
    </w:p>
    <w:p>
      <w:r>
        <w:rPr>
          <w:rFonts w:ascii="Calibri" w:hAnsi="Calibri"/>
          <w:sz w:val="24"/>
        </w:rPr>
        <w:t>All configurations are version-controlled using infrastructure-as-code principles.</w:t>
      </w:r>
    </w:p>
    <w:p>
      <w:pPr>
        <w:pStyle w:val="Heading2"/>
        <w:spacing w:before="240" w:after="120"/>
        <w:ind w:left="0"/>
      </w:pPr>
      <w:r>
        <w:t>6.5 Networking</w:t>
      </w:r>
    </w:p>
    <w:p>
      <w:r>
        <w:rPr>
          <w:rFonts w:ascii="Calibri" w:hAnsi="Calibri"/>
          <w:sz w:val="24"/>
        </w:rPr>
        <w:t>The networking architecture follows NVIDIA DGX SuperPOD best practices:</w:t>
      </w:r>
    </w:p>
    <w:p>
      <w:pPr>
        <w:spacing w:after="80"/>
        <w:ind w:left="360"/>
      </w:pPr>
      <w:r>
        <w:rPr>
          <w:rFonts w:ascii="Calibri" w:hAnsi="Calibri"/>
          <w:sz w:val="24"/>
        </w:rPr>
        <w:t xml:space="preserve">• </w:t>
      </w:r>
      <w:r>
        <w:rPr>
          <w:rFonts w:ascii="Calibri" w:hAnsi="Calibri"/>
          <w:sz w:val="24"/>
        </w:rPr>
        <w:t>InfiniBand fabric for GPU-to-GPU communication (RDMA, GPUDirect)</w:t>
      </w:r>
    </w:p>
    <w:p>
      <w:pPr>
        <w:spacing w:after="80"/>
        <w:ind w:left="360"/>
      </w:pPr>
      <w:r>
        <w:rPr>
          <w:rFonts w:ascii="Calibri" w:hAnsi="Calibri"/>
          <w:sz w:val="24"/>
        </w:rPr>
        <w:t xml:space="preserve">• </w:t>
      </w:r>
      <w:r>
        <w:rPr>
          <w:rFonts w:ascii="Calibri" w:hAnsi="Calibri"/>
          <w:sz w:val="24"/>
        </w:rPr>
        <w:t>Dedicated management network (100 GbE Ethernet)</w:t>
      </w:r>
    </w:p>
    <w:p>
      <w:pPr>
        <w:spacing w:after="80"/>
        <w:ind w:left="360"/>
      </w:pPr>
      <w:r>
        <w:rPr>
          <w:rFonts w:ascii="Calibri" w:hAnsi="Calibri"/>
          <w:sz w:val="24"/>
        </w:rPr>
        <w:t xml:space="preserve">• </w:t>
      </w:r>
      <w:r>
        <w:rPr>
          <w:rFonts w:ascii="Calibri" w:hAnsi="Calibri"/>
          <w:sz w:val="24"/>
        </w:rPr>
        <w:t>Network segmentation for security (management, compute, storage VLANs)</w:t>
      </w:r>
    </w:p>
    <w:p>
      <w:pPr>
        <w:spacing w:after="80"/>
        <w:ind w:left="360"/>
      </w:pPr>
      <w:r>
        <w:rPr>
          <w:rFonts w:ascii="Calibri" w:hAnsi="Calibri"/>
          <w:sz w:val="24"/>
        </w:rPr>
        <w:t xml:space="preserve">• </w:t>
      </w:r>
      <w:r>
        <w:rPr>
          <w:rFonts w:ascii="Calibri" w:hAnsi="Calibri"/>
          <w:sz w:val="24"/>
        </w:rPr>
        <w:t>Redundant switches and uplinks for high availability</w:t>
      </w:r>
    </w:p>
    <w:p>
      <w:pPr>
        <w:spacing w:after="80"/>
        <w:ind w:left="360"/>
      </w:pPr>
      <w:r>
        <w:rPr>
          <w:rFonts w:ascii="Calibri" w:hAnsi="Calibri"/>
          <w:sz w:val="24"/>
        </w:rPr>
        <w:t xml:space="preserve">• </w:t>
      </w:r>
      <w:r>
        <w:rPr>
          <w:rFonts w:ascii="Calibri" w:hAnsi="Calibri"/>
          <w:sz w:val="24"/>
        </w:rPr>
        <w:t>QoS policies for prioritizing training traffic</w:t>
      </w:r>
    </w:p>
    <w:p>
      <w:pPr>
        <w:pStyle w:val="Heading2"/>
        <w:spacing w:before="240" w:after="120"/>
        <w:ind w:left="0"/>
      </w:pPr>
      <w:r>
        <w:t>6.6 Observability</w:t>
      </w:r>
    </w:p>
    <w:p>
      <w:r>
        <w:rPr>
          <w:rFonts w:ascii="Calibri" w:hAnsi="Calibri"/>
          <w:sz w:val="24"/>
        </w:rPr>
        <w:t>Comprehensive observability ensures operational excellence:</w:t>
      </w:r>
    </w:p>
    <w:p>
      <w:pPr>
        <w:spacing w:after="80"/>
        <w:ind w:left="360"/>
      </w:pPr>
      <w:r>
        <w:rPr>
          <w:rFonts w:ascii="Calibri" w:hAnsi="Calibri"/>
          <w:sz w:val="24"/>
        </w:rPr>
        <w:t xml:space="preserve">• </w:t>
      </w:r>
      <w:r>
        <w:rPr>
          <w:rFonts w:ascii="Calibri" w:hAnsi="Calibri"/>
          <w:sz w:val="24"/>
        </w:rPr>
        <w:t>GPU utilization, temperature, power monitoring via DCGM</w:t>
      </w:r>
    </w:p>
    <w:p>
      <w:pPr>
        <w:spacing w:after="80"/>
        <w:ind w:left="360"/>
      </w:pPr>
      <w:r>
        <w:rPr>
          <w:rFonts w:ascii="Calibri" w:hAnsi="Calibri"/>
          <w:sz w:val="24"/>
        </w:rPr>
        <w:t xml:space="preserve">• </w:t>
      </w:r>
      <w:r>
        <w:rPr>
          <w:rFonts w:ascii="Calibri" w:hAnsi="Calibri"/>
          <w:sz w:val="24"/>
        </w:rPr>
        <w:t>InfiniBand fabric performance metrics (bandwidth, errors, latency)</w:t>
      </w:r>
    </w:p>
    <w:p>
      <w:pPr>
        <w:spacing w:after="80"/>
        <w:ind w:left="360"/>
      </w:pPr>
      <w:r>
        <w:rPr>
          <w:rFonts w:ascii="Calibri" w:hAnsi="Calibri"/>
          <w:sz w:val="24"/>
        </w:rPr>
        <w:t xml:space="preserve">• </w:t>
      </w:r>
      <w:r>
        <w:rPr>
          <w:rFonts w:ascii="Calibri" w:hAnsi="Calibri"/>
          <w:sz w:val="24"/>
        </w:rPr>
        <w:t>Storage throughput and latency monitoring</w:t>
      </w:r>
    </w:p>
    <w:p>
      <w:pPr>
        <w:spacing w:after="80"/>
        <w:ind w:left="360"/>
      </w:pPr>
      <w:r>
        <w:rPr>
          <w:rFonts w:ascii="Calibri" w:hAnsi="Calibri"/>
          <w:sz w:val="24"/>
        </w:rPr>
        <w:t xml:space="preserve">• </w:t>
      </w:r>
      <w:r>
        <w:rPr>
          <w:rFonts w:ascii="Calibri" w:hAnsi="Calibri"/>
          <w:sz w:val="24"/>
        </w:rPr>
        <w:t>Job queue metrics (wait time, GPU allocation, completion rate)</w:t>
      </w:r>
    </w:p>
    <w:p>
      <w:pPr>
        <w:spacing w:after="80"/>
        <w:ind w:left="360"/>
      </w:pPr>
      <w:r>
        <w:rPr>
          <w:rFonts w:ascii="Calibri" w:hAnsi="Calibri"/>
          <w:sz w:val="24"/>
        </w:rPr>
        <w:t xml:space="preserve">• </w:t>
      </w:r>
      <w:r>
        <w:rPr>
          <w:rFonts w:ascii="Calibri" w:hAnsi="Calibri"/>
          <w:sz w:val="24"/>
        </w:rPr>
        <w:t>Custom dashboards showing AI workload KPIs (training time, GPU efficiency, cost per model)</w:t>
      </w:r>
    </w:p>
    <w:p>
      <w:pPr>
        <w:pStyle w:val="Heading2"/>
        <w:spacing w:before="240" w:after="120"/>
        <w:ind w:left="0"/>
      </w:pPr>
      <w:r>
        <w:t>6.7 Backup &amp; Disaster Recovery</w:t>
      </w:r>
    </w:p>
    <w:p>
      <w:r>
        <w:rPr>
          <w:rFonts w:ascii="Calibri" w:hAnsi="Calibri"/>
          <w:sz w:val="24"/>
        </w:rPr>
        <w:t>All critical data and configurations are protected through:</w:t>
      </w:r>
    </w:p>
    <w:p>
      <w:pPr>
        <w:spacing w:after="80"/>
        <w:ind w:left="360"/>
      </w:pPr>
      <w:r>
        <w:rPr>
          <w:rFonts w:ascii="Calibri" w:hAnsi="Calibri"/>
          <w:sz w:val="24"/>
        </w:rPr>
        <w:t xml:space="preserve">• </w:t>
      </w:r>
      <w:r>
        <w:rPr>
          <w:rFonts w:ascii="Calibri" w:hAnsi="Calibri"/>
          <w:sz w:val="24"/>
        </w:rPr>
        <w:t>Automated daily backups of model checkpoints to object storage</w:t>
      </w:r>
    </w:p>
    <w:p>
      <w:pPr>
        <w:spacing w:after="80"/>
        <w:ind w:left="360"/>
      </w:pPr>
      <w:r>
        <w:rPr>
          <w:rFonts w:ascii="Calibri" w:hAnsi="Calibri"/>
          <w:sz w:val="24"/>
        </w:rPr>
        <w:t xml:space="preserve">• </w:t>
      </w:r>
      <w:r>
        <w:rPr>
          <w:rFonts w:ascii="Calibri" w:hAnsi="Calibri"/>
          <w:sz w:val="24"/>
        </w:rPr>
        <w:t>RAID 6 protection for storage cluster with hot spares</w:t>
      </w:r>
    </w:p>
    <w:p>
      <w:pPr>
        <w:spacing w:after="80"/>
        <w:ind w:left="360"/>
      </w:pPr>
      <w:r>
        <w:rPr>
          <w:rFonts w:ascii="Calibri" w:hAnsi="Calibri"/>
          <w:sz w:val="24"/>
        </w:rPr>
        <w:t xml:space="preserve">• </w:t>
      </w:r>
      <w:r>
        <w:rPr>
          <w:rFonts w:ascii="Calibri" w:hAnsi="Calibri"/>
          <w:sz w:val="24"/>
        </w:rPr>
        <w:t>Configuration backups for DGX systems and switches</w:t>
      </w:r>
    </w:p>
    <w:p>
      <w:pPr>
        <w:spacing w:after="80"/>
        <w:ind w:left="360"/>
      </w:pPr>
      <w:r>
        <w:rPr>
          <w:rFonts w:ascii="Calibri" w:hAnsi="Calibri"/>
          <w:sz w:val="24"/>
        </w:rPr>
        <w:t xml:space="preserve">• </w:t>
      </w:r>
      <w:r>
        <w:rPr>
          <w:rFonts w:ascii="Calibri" w:hAnsi="Calibri"/>
          <w:sz w:val="24"/>
        </w:rPr>
        <w:t>Offsite backup replication (optional) for disaster recovery</w:t>
      </w:r>
    </w:p>
    <w:p>
      <w:pPr>
        <w:spacing w:after="80"/>
        <w:ind w:left="360"/>
      </w:pPr>
      <w:r>
        <w:rPr>
          <w:rFonts w:ascii="Calibri" w:hAnsi="Calibri"/>
          <w:sz w:val="24"/>
        </w:rPr>
        <w:t xml:space="preserve">• </w:t>
      </w:r>
      <w:r>
        <w:rPr>
          <w:rFonts w:ascii="Calibri" w:hAnsi="Calibri"/>
          <w:sz w:val="24"/>
        </w:rPr>
        <w:t>RTO: 8 hours | RPO: 4 hours</w:t>
      </w:r>
    </w:p>
    <w:p>
      <w:pPr>
        <w:pStyle w:val="Heading2"/>
        <w:spacing w:before="240" w:after="120"/>
        <w:ind w:left="0"/>
      </w:pPr>
      <w:r>
        <w:t>6.8 Technical Implementation Strategy</w:t>
      </w:r>
    </w:p>
    <w:p>
      <w:r>
        <w:rPr>
          <w:rFonts w:ascii="Calibri" w:hAnsi="Calibri"/>
          <w:sz w:val="24"/>
        </w:rPr>
        <w:t>The implementation approach follows NVIDIA DGX SuperPOD reference architecture and proven methodologies for enterprise AI infrastructure.</w:t>
      </w:r>
    </w:p>
    <w:p>
      <w:pPr>
        <w:pStyle w:val="Heading2"/>
        <w:spacing w:before="240" w:after="120"/>
        <w:ind w:left="0"/>
      </w:pPr>
      <w:r>
        <w:t>6.9 Example Implementation Patterns</w:t>
      </w:r>
    </w:p>
    <w:p>
      <w:pPr>
        <w:spacing w:after="80"/>
        <w:ind w:left="360"/>
      </w:pPr>
      <w:r>
        <w:rPr>
          <w:rFonts w:ascii="Calibri" w:hAnsi="Calibri"/>
          <w:sz w:val="24"/>
        </w:rPr>
        <w:t xml:space="preserve">• </w:t>
      </w:r>
      <w:r>
        <w:rPr>
          <w:rFonts w:ascii="Calibri" w:hAnsi="Calibri"/>
          <w:sz w:val="24"/>
        </w:rPr>
        <w:t>Phased deployment: Install and validate 2 DGX systems first, then expand to 8</w:t>
      </w:r>
    </w:p>
    <w:p>
      <w:pPr>
        <w:spacing w:after="80"/>
        <w:ind w:left="360"/>
      </w:pPr>
      <w:r>
        <w:rPr>
          <w:rFonts w:ascii="Calibri" w:hAnsi="Calibri"/>
          <w:sz w:val="24"/>
        </w:rPr>
        <w:t xml:space="preserve">• </w:t>
      </w:r>
      <w:r>
        <w:rPr>
          <w:rFonts w:ascii="Calibri" w:hAnsi="Calibri"/>
          <w:sz w:val="24"/>
        </w:rPr>
        <w:t>Parallel environments: Maintain existing cloud GPU access during on-premises ramp-up</w:t>
      </w:r>
    </w:p>
    <w:p>
      <w:pPr>
        <w:spacing w:after="80"/>
        <w:ind w:left="360"/>
      </w:pPr>
      <w:r>
        <w:rPr>
          <w:rFonts w:ascii="Calibri" w:hAnsi="Calibri"/>
          <w:sz w:val="24"/>
        </w:rPr>
        <w:t xml:space="preserve">• </w:t>
      </w:r>
      <w:r>
        <w:rPr>
          <w:rFonts w:ascii="Calibri" w:hAnsi="Calibri"/>
          <w:sz w:val="24"/>
        </w:rPr>
        <w:t>Iterative optimization: Benchmark workloads, tune NCCL settings, optimize throughput</w:t>
      </w:r>
    </w:p>
    <w:p>
      <w:pPr>
        <w:pStyle w:val="Heading2"/>
        <w:spacing w:before="240" w:after="120"/>
        <w:ind w:left="0"/>
      </w:pPr>
      <w:r>
        <w:t>6.10 Tooling Overview</w:t>
      </w:r>
    </w:p>
    <w:p>
      <w:r>
        <w:rPr>
          <w:rFonts w:ascii="Calibri" w:hAnsi="Calibri"/>
          <w:sz w:val="24"/>
        </w:rPr>
        <w:t>The following tools and technologies will be deployed as part of the DGX SuperPOD solution, forming an integrated AI infrastructure platform.</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Primary Tools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Compute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NVIDIA DGX H100</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GPU systems for AI training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Quantum-2 InfiniBand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Ultra-low-latency fabric</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Storage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Base Command Platform</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High-performance file system</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Software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NGC Catalog</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Optimized AI containers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Scheduling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Slurm Workload Manager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Job queuing and GPU allocation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DCGM, Prometheus, Grafana</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GPU health and performance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JupyterHub, VSCode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Interactive development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Inference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Triton Inference Server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model serving</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Implementation Tools and Technologies</w:t>
      </w:r>
    </w:p>
    <w:p>
      <w:pPr>
        <w:pStyle w:val="Heading2"/>
        <w:spacing w:before="240" w:after="120"/>
        <w:ind w:left="0"/>
      </w:pPr>
      <w:r>
        <w:t>6.11 Data Management</w:t>
      </w:r>
    </w:p>
    <w:p>
      <w:pPr>
        <w:pStyle w:val="Heading3"/>
        <w:spacing w:before="160" w:after="120"/>
        <w:ind w:left="0"/>
      </w:pPr>
      <w:r>
        <w:t>6.11.1 Data Strategy</w:t>
      </w:r>
    </w:p>
    <w:p>
      <w:pPr>
        <w:spacing w:after="80"/>
        <w:ind w:left="360"/>
      </w:pPr>
      <w:r>
        <w:rPr>
          <w:rFonts w:ascii="Calibri" w:hAnsi="Calibri"/>
          <w:sz w:val="24"/>
        </w:rPr>
        <w:t xml:space="preserve">• </w:t>
      </w:r>
      <w:r>
        <w:rPr>
          <w:rFonts w:ascii="Calibri" w:hAnsi="Calibri"/>
          <w:sz w:val="24"/>
        </w:rPr>
        <w:t>High-performance parallel file system for shared datasets</w:t>
      </w:r>
    </w:p>
    <w:p>
      <w:pPr>
        <w:spacing w:after="80"/>
        <w:ind w:left="360"/>
      </w:pPr>
      <w:r>
        <w:rPr>
          <w:rFonts w:ascii="Calibri" w:hAnsi="Calibri"/>
          <w:sz w:val="24"/>
        </w:rPr>
        <w:t xml:space="preserve">• </w:t>
      </w:r>
      <w:r>
        <w:rPr>
          <w:rFonts w:ascii="Calibri" w:hAnsi="Calibri"/>
          <w:sz w:val="24"/>
        </w:rPr>
        <w:t>GPUDirect Storage for direct GPU-to-storage data transfers</w:t>
      </w:r>
    </w:p>
    <w:p>
      <w:pPr>
        <w:spacing w:after="80"/>
        <w:ind w:left="360"/>
      </w:pPr>
      <w:r>
        <w:rPr>
          <w:rFonts w:ascii="Calibri" w:hAnsi="Calibri"/>
          <w:sz w:val="24"/>
        </w:rPr>
        <w:t xml:space="preserve">• </w:t>
      </w:r>
      <w:r>
        <w:rPr>
          <w:rFonts w:ascii="Calibri" w:hAnsi="Calibri"/>
          <w:sz w:val="24"/>
        </w:rPr>
        <w:t>Automated data lifecycle management (hot/warm/cold tiering)</w:t>
      </w:r>
    </w:p>
    <w:p>
      <w:pPr>
        <w:spacing w:after="80"/>
        <w:ind w:left="360"/>
      </w:pPr>
      <w:r>
        <w:rPr>
          <w:rFonts w:ascii="Calibri" w:hAnsi="Calibri"/>
          <w:sz w:val="24"/>
        </w:rPr>
        <w:t xml:space="preserve">• </w:t>
      </w:r>
      <w:r>
        <w:rPr>
          <w:rFonts w:ascii="Calibri" w:hAnsi="Calibri"/>
          <w:sz w:val="24"/>
        </w:rPr>
        <w:t>Model checkpoint versioning and storage optimization</w:t>
      </w:r>
    </w:p>
    <w:p>
      <w:pPr>
        <w:spacing w:after="80"/>
        <w:ind w:left="360"/>
      </w:pPr>
      <w:r>
        <w:rPr>
          <w:rFonts w:ascii="Calibri" w:hAnsi="Calibri"/>
          <w:sz w:val="24"/>
        </w:rPr>
        <w:t xml:space="preserve">• </w:t>
      </w:r>
      <w:r>
        <w:rPr>
          <w:rFonts w:ascii="Calibri" w:hAnsi="Calibri"/>
          <w:sz w:val="24"/>
        </w:rPr>
        <w:t>Dataset preprocessing pipelines with GPU acceleration</w:t>
      </w:r>
    </w:p>
    <w:p>
      <w:pPr>
        <w:pStyle w:val="Heading3"/>
        <w:spacing w:before="160" w:after="120"/>
        <w:ind w:left="0"/>
      </w:pPr>
      <w:r>
        <w:t>6.11.2 Data Security &amp; Compliance</w:t>
      </w:r>
    </w:p>
    <w:p>
      <w:pPr>
        <w:spacing w:after="80"/>
        <w:ind w:left="360"/>
      </w:pPr>
      <w:r>
        <w:rPr>
          <w:rFonts w:ascii="Calibri" w:hAnsi="Calibri"/>
          <w:sz w:val="24"/>
        </w:rPr>
        <w:t xml:space="preserve">• </w:t>
      </w:r>
      <w:r>
        <w:rPr>
          <w:rFonts w:ascii="Calibri" w:hAnsi="Calibri"/>
          <w:sz w:val="24"/>
        </w:rPr>
        <w:t>Encryption enabled for data in-transit and at-rest</w:t>
      </w:r>
    </w:p>
    <w:p>
      <w:pPr>
        <w:spacing w:after="80"/>
        <w:ind w:left="360"/>
      </w:pPr>
      <w:r>
        <w:rPr>
          <w:rFonts w:ascii="Calibri" w:hAnsi="Calibri"/>
          <w:sz w:val="24"/>
        </w:rPr>
        <w:t xml:space="preserve">• </w:t>
      </w:r>
      <w:r>
        <w:rPr>
          <w:rFonts w:ascii="Calibri" w:hAnsi="Calibri"/>
          <w:sz w:val="24"/>
        </w:rPr>
        <w:t>RBAC for dataset access control</w:t>
      </w:r>
    </w:p>
    <w:p>
      <w:pPr>
        <w:spacing w:after="80"/>
        <w:ind w:left="360"/>
      </w:pPr>
      <w:r>
        <w:rPr>
          <w:rFonts w:ascii="Calibri" w:hAnsi="Calibri"/>
          <w:sz w:val="24"/>
        </w:rPr>
        <w:t xml:space="preserve">• </w:t>
      </w:r>
      <w:r>
        <w:rPr>
          <w:rFonts w:ascii="Calibri" w:hAnsi="Calibri"/>
          <w:sz w:val="24"/>
        </w:rPr>
        <w:t>Audit trail for all data access via centralized logging</w:t>
      </w:r>
    </w:p>
    <w:p>
      <w:pPr>
        <w:spacing w:after="80"/>
        <w:ind w:left="360"/>
      </w:pPr>
      <w:r>
        <w:rPr>
          <w:rFonts w:ascii="Calibri" w:hAnsi="Calibri"/>
          <w:sz w:val="24"/>
        </w:rPr>
        <w:t xml:space="preserve">• </w:t>
      </w:r>
      <w:r>
        <w:rPr>
          <w:rFonts w:ascii="Calibri" w:hAnsi="Calibri"/>
          <w:sz w:val="24"/>
        </w:rPr>
        <w:t>Secure deletion capabilities for regulatory compliance</w:t>
      </w:r>
    </w:p>
    <w:p>
      <w:pPr>
        <w:spacing w:after="80"/>
        <w:ind w:left="360"/>
      </w:pPr>
      <w:r>
        <w:rPr>
          <w:rFonts w:ascii="Calibri" w:hAnsi="Calibri"/>
          <w:sz w:val="24"/>
        </w:rPr>
        <w:t xml:space="preserve">• </w:t>
      </w:r>
      <w:r>
        <w:rPr>
          <w:rFonts w:ascii="Calibri" w:hAnsi="Calibri"/>
          <w:sz w:val="24"/>
        </w:rPr>
        <w:t>Data residency controls for sensitive training data</w:t>
      </w:r>
    </w:p>
    <w:p>
      <w:pPr>
        <w:pStyle w:val="Heading1"/>
        <w:spacing w:before="160" w:after="120"/>
        <w:ind w:left="0"/>
      </w:pPr>
      <w:r>
        <w:t>7 Security &amp; Compliance</w:t>
      </w:r>
    </w:p>
    <w:p>
      <w:r>
        <w:rPr>
          <w:rFonts w:ascii="Calibri" w:hAnsi="Calibri"/>
          <w:sz w:val="24"/>
        </w:rPr>
        <w:t>The implementation and target environment will be architected and validated to meet the Client's security, compliance, and governance requirements. Vendor will adhere to industry-standard security frameworks and NVIDIA DGX SuperPOD best practices.</w:t>
      </w:r>
    </w:p>
    <w:p>
      <w:pPr>
        <w:pStyle w:val="Heading2"/>
        <w:spacing w:before="240" w:after="120"/>
        <w:ind w:left="0"/>
      </w:pPr>
      <w:r>
        <w:t>7.1 Identity &amp; Access Management</w:t>
      </w:r>
    </w:p>
    <w:p>
      <w:pPr>
        <w:spacing w:after="80"/>
        <w:ind w:left="360"/>
      </w:pPr>
      <w:r>
        <w:rPr>
          <w:rFonts w:ascii="Calibri" w:hAnsi="Calibri"/>
          <w:sz w:val="24"/>
        </w:rPr>
        <w:t xml:space="preserve">• </w:t>
      </w:r>
      <w:r>
        <w:rPr>
          <w:rFonts w:ascii="Calibri" w:hAnsi="Calibri"/>
          <w:sz w:val="24"/>
        </w:rPr>
        <w:t>LDAP/Active Directory integration for user authentication</w:t>
      </w:r>
    </w:p>
    <w:p>
      <w:pPr>
        <w:spacing w:after="80"/>
        <w:ind w:left="360"/>
      </w:pPr>
      <w:r>
        <w:rPr>
          <w:rFonts w:ascii="Calibri" w:hAnsi="Calibri"/>
          <w:sz w:val="24"/>
        </w:rPr>
        <w:t xml:space="preserve">• </w:t>
      </w:r>
      <w:r>
        <w:rPr>
          <w:rFonts w:ascii="Calibri" w:hAnsi="Calibri"/>
          <w:sz w:val="24"/>
        </w:rPr>
        <w:t>Role-based access control (RBAC) for GPU resource allocation</w:t>
      </w:r>
    </w:p>
    <w:p>
      <w:pPr>
        <w:spacing w:after="80"/>
        <w:ind w:left="360"/>
      </w:pPr>
      <w:r>
        <w:rPr>
          <w:rFonts w:ascii="Calibri" w:hAnsi="Calibri"/>
          <w:sz w:val="24"/>
        </w:rPr>
        <w:t xml:space="preserve">• </w:t>
      </w:r>
      <w:r>
        <w:rPr>
          <w:rFonts w:ascii="Calibri" w:hAnsi="Calibri"/>
          <w:sz w:val="24"/>
        </w:rPr>
        <w:t>Multi-factor authentication (MFA) for administrative access</w:t>
      </w:r>
    </w:p>
    <w:p>
      <w:pPr>
        <w:spacing w:after="80"/>
        <w:ind w:left="360"/>
      </w:pPr>
      <w:r>
        <w:rPr>
          <w:rFonts w:ascii="Calibri" w:hAnsi="Calibri"/>
          <w:sz w:val="24"/>
        </w:rPr>
        <w:t xml:space="preserve">• </w:t>
      </w:r>
      <w:r>
        <w:rPr>
          <w:rFonts w:ascii="Calibri" w:hAnsi="Calibri"/>
          <w:sz w:val="24"/>
        </w:rPr>
        <w:t>SSH key-based authentication for DGX system access</w:t>
      </w:r>
    </w:p>
    <w:p>
      <w:pPr>
        <w:spacing w:after="80"/>
        <w:ind w:left="360"/>
      </w:pPr>
      <w:r>
        <w:rPr>
          <w:rFonts w:ascii="Calibri" w:hAnsi="Calibri"/>
          <w:sz w:val="24"/>
        </w:rPr>
        <w:t xml:space="preserve">• </w:t>
      </w:r>
      <w:r>
        <w:rPr>
          <w:rFonts w:ascii="Calibri" w:hAnsi="Calibri"/>
          <w:sz w:val="24"/>
        </w:rPr>
        <w:t>Isolated user environments with resource quotas</w:t>
      </w:r>
    </w:p>
    <w:p>
      <w:pPr>
        <w:pStyle w:val="Heading2"/>
        <w:spacing w:before="240" w:after="120"/>
        <w:ind w:left="0"/>
      </w:pPr>
      <w:r>
        <w:t>7.2 Monitoring &amp; Threat Detection</w:t>
      </w:r>
    </w:p>
    <w:p>
      <w:pPr>
        <w:spacing w:after="80"/>
        <w:ind w:left="360"/>
      </w:pPr>
      <w:r>
        <w:rPr>
          <w:rFonts w:ascii="Calibri" w:hAnsi="Calibri"/>
          <w:sz w:val="24"/>
        </w:rPr>
        <w:t xml:space="preserve">• </w:t>
      </w:r>
      <w:r>
        <w:rPr>
          <w:rFonts w:ascii="Calibri" w:hAnsi="Calibri"/>
          <w:sz w:val="24"/>
        </w:rPr>
        <w:t>Centralized logging for all system and application events</w:t>
      </w:r>
    </w:p>
    <w:p>
      <w:pPr>
        <w:spacing w:after="80"/>
        <w:ind w:left="360"/>
      </w:pPr>
      <w:r>
        <w:rPr>
          <w:rFonts w:ascii="Calibri" w:hAnsi="Calibri"/>
          <w:sz w:val="24"/>
        </w:rPr>
        <w:t xml:space="preserve">• </w:t>
      </w:r>
      <w:r>
        <w:rPr>
          <w:rFonts w:ascii="Calibri" w:hAnsi="Calibri"/>
          <w:sz w:val="24"/>
        </w:rPr>
        <w:t>Intrusion detection system (IDS) for network monitoring</w:t>
      </w:r>
    </w:p>
    <w:p>
      <w:pPr>
        <w:spacing w:after="80"/>
        <w:ind w:left="360"/>
      </w:pPr>
      <w:r>
        <w:rPr>
          <w:rFonts w:ascii="Calibri" w:hAnsi="Calibri"/>
          <w:sz w:val="24"/>
        </w:rPr>
        <w:t xml:space="preserve">• </w:t>
      </w:r>
      <w:r>
        <w:rPr>
          <w:rFonts w:ascii="Calibri" w:hAnsi="Calibri"/>
          <w:sz w:val="24"/>
        </w:rPr>
        <w:t>Automated alerts for unauthorized access attempts</w:t>
      </w:r>
    </w:p>
    <w:p>
      <w:pPr>
        <w:spacing w:after="80"/>
        <w:ind w:left="360"/>
      </w:pPr>
      <w:r>
        <w:rPr>
          <w:rFonts w:ascii="Calibri" w:hAnsi="Calibri"/>
          <w:sz w:val="24"/>
        </w:rPr>
        <w:t xml:space="preserve">• </w:t>
      </w:r>
      <w:r>
        <w:rPr>
          <w:rFonts w:ascii="Calibri" w:hAnsi="Calibri"/>
          <w:sz w:val="24"/>
        </w:rPr>
        <w:t>Security Information and Event Management (SIEM) integration</w:t>
      </w:r>
    </w:p>
    <w:p>
      <w:pPr>
        <w:spacing w:after="80"/>
        <w:ind w:left="360"/>
      </w:pPr>
      <w:r>
        <w:rPr>
          <w:rFonts w:ascii="Calibri" w:hAnsi="Calibri"/>
          <w:sz w:val="24"/>
        </w:rPr>
        <w:t xml:space="preserve">• </w:t>
      </w:r>
      <w:r>
        <w:rPr>
          <w:rFonts w:ascii="Calibri" w:hAnsi="Calibri"/>
          <w:sz w:val="24"/>
        </w:rPr>
        <w:t>Regular security patch management and vulnerability scanning</w:t>
      </w:r>
    </w:p>
    <w:p>
      <w:pPr>
        <w:pStyle w:val="Heading2"/>
        <w:spacing w:before="240" w:after="120"/>
        <w:ind w:left="0"/>
      </w:pPr>
      <w:r>
        <w:t>7.3 Compliance &amp; Auditing</w:t>
      </w:r>
    </w:p>
    <w:p>
      <w:pPr>
        <w:spacing w:after="80"/>
        <w:ind w:left="360"/>
      </w:pPr>
      <w:r>
        <w:rPr>
          <w:rFonts w:ascii="Calibri" w:hAnsi="Calibri"/>
          <w:sz w:val="24"/>
        </w:rPr>
        <w:t xml:space="preserve">• </w:t>
      </w:r>
      <w:r>
        <w:rPr>
          <w:rFonts w:ascii="Calibri" w:hAnsi="Calibri"/>
          <w:sz w:val="24"/>
        </w:rPr>
        <w:t>SOC 2 certified infrastructure components</w:t>
      </w:r>
    </w:p>
    <w:p>
      <w:pPr>
        <w:spacing w:after="80"/>
        <w:ind w:left="360"/>
      </w:pPr>
      <w:r>
        <w:rPr>
          <w:rFonts w:ascii="Calibri" w:hAnsi="Calibri"/>
          <w:sz w:val="24"/>
        </w:rPr>
        <w:t xml:space="preserve">• </w:t>
      </w:r>
      <w:r>
        <w:rPr>
          <w:rFonts w:ascii="Calibri" w:hAnsi="Calibri"/>
          <w:sz w:val="24"/>
        </w:rPr>
        <w:t>Data residency controls for regulatory compliance</w:t>
      </w:r>
    </w:p>
    <w:p>
      <w:pPr>
        <w:spacing w:after="80"/>
        <w:ind w:left="360"/>
      </w:pPr>
      <w:r>
        <w:rPr>
          <w:rFonts w:ascii="Calibri" w:hAnsi="Calibri"/>
          <w:sz w:val="24"/>
        </w:rPr>
        <w:t xml:space="preserve">• </w:t>
      </w:r>
      <w:r>
        <w:rPr>
          <w:rFonts w:ascii="Calibri" w:hAnsi="Calibri"/>
          <w:sz w:val="24"/>
        </w:rPr>
        <w:t>Comprehensive audit trail for all system access and GPU usage</w:t>
      </w:r>
    </w:p>
    <w:p>
      <w:pPr>
        <w:spacing w:after="80"/>
        <w:ind w:left="360"/>
      </w:pPr>
      <w:r>
        <w:rPr>
          <w:rFonts w:ascii="Calibri" w:hAnsi="Calibri"/>
          <w:sz w:val="24"/>
        </w:rPr>
        <w:t xml:space="preserve">• </w:t>
      </w:r>
      <w:r>
        <w:rPr>
          <w:rFonts w:ascii="Calibri" w:hAnsi="Calibri"/>
          <w:sz w:val="24"/>
        </w:rPr>
        <w:t>Regular compliance assessments and reporting</w:t>
      </w:r>
    </w:p>
    <w:p>
      <w:pPr>
        <w:spacing w:after="80"/>
        <w:ind w:left="360"/>
      </w:pPr>
      <w:r>
        <w:rPr>
          <w:rFonts w:ascii="Calibri" w:hAnsi="Calibri"/>
          <w:sz w:val="24"/>
        </w:rPr>
        <w:t xml:space="preserve">• </w:t>
      </w:r>
      <w:r>
        <w:rPr>
          <w:rFonts w:ascii="Calibri" w:hAnsi="Calibri"/>
          <w:sz w:val="24"/>
        </w:rPr>
        <w:t>Documented security policies and procedures</w:t>
      </w:r>
    </w:p>
    <w:p>
      <w:pPr>
        <w:pStyle w:val="Heading2"/>
        <w:spacing w:before="240" w:after="120"/>
        <w:ind w:left="0"/>
      </w:pPr>
      <w:r>
        <w:t>7.4 Encryption &amp; Key Management</w:t>
      </w:r>
    </w:p>
    <w:p>
      <w:pPr>
        <w:spacing w:after="80"/>
        <w:ind w:left="360"/>
      </w:pPr>
      <w:r>
        <w:rPr>
          <w:rFonts w:ascii="Calibri" w:hAnsi="Calibri"/>
          <w:sz w:val="24"/>
        </w:rPr>
        <w:t xml:space="preserve">• </w:t>
      </w:r>
      <w:r>
        <w:rPr>
          <w:rFonts w:ascii="Calibri" w:hAnsi="Calibri"/>
          <w:sz w:val="24"/>
        </w:rPr>
        <w:t>Encryption at rest for all storage volumes</w:t>
      </w:r>
    </w:p>
    <w:p>
      <w:pPr>
        <w:spacing w:after="80"/>
        <w:ind w:left="360"/>
      </w:pPr>
      <w:r>
        <w:rPr>
          <w:rFonts w:ascii="Calibri" w:hAnsi="Calibri"/>
          <w:sz w:val="24"/>
        </w:rPr>
        <w:t xml:space="preserve">• </w:t>
      </w:r>
      <w:r>
        <w:rPr>
          <w:rFonts w:ascii="Calibri" w:hAnsi="Calibri"/>
          <w:sz w:val="24"/>
        </w:rPr>
        <w:t>TLS 1.3 encryption for all network communications</w:t>
      </w:r>
    </w:p>
    <w:p>
      <w:pPr>
        <w:spacing w:after="80"/>
        <w:ind w:left="360"/>
      </w:pPr>
      <w:r>
        <w:rPr>
          <w:rFonts w:ascii="Calibri" w:hAnsi="Calibri"/>
          <w:sz w:val="24"/>
        </w:rPr>
        <w:t xml:space="preserve">• </w:t>
      </w:r>
      <w:r>
        <w:rPr>
          <w:rFonts w:ascii="Calibri" w:hAnsi="Calibri"/>
          <w:sz w:val="24"/>
        </w:rPr>
        <w:t>Secure key management with hardware security modules (optional)</w:t>
      </w:r>
    </w:p>
    <w:p>
      <w:pPr>
        <w:spacing w:after="80"/>
        <w:ind w:left="360"/>
      </w:pPr>
      <w:r>
        <w:rPr>
          <w:rFonts w:ascii="Calibri" w:hAnsi="Calibri"/>
          <w:sz w:val="24"/>
        </w:rPr>
        <w:t xml:space="preserve">• </w:t>
      </w:r>
      <w:r>
        <w:rPr>
          <w:rFonts w:ascii="Calibri" w:hAnsi="Calibri"/>
          <w:sz w:val="24"/>
        </w:rPr>
        <w:t>Encrypted backup and replication</w:t>
      </w:r>
    </w:p>
    <w:p>
      <w:pPr>
        <w:spacing w:after="80"/>
        <w:ind w:left="360"/>
      </w:pPr>
      <w:r>
        <w:rPr>
          <w:rFonts w:ascii="Calibri" w:hAnsi="Calibri"/>
          <w:sz w:val="24"/>
        </w:rPr>
        <w:t xml:space="preserve">• </w:t>
      </w:r>
      <w:r>
        <w:rPr>
          <w:rFonts w:ascii="Calibri" w:hAnsi="Calibri"/>
          <w:sz w:val="24"/>
        </w:rPr>
        <w:t>Regular encryption key rotation</w:t>
      </w:r>
    </w:p>
    <w:p>
      <w:pPr>
        <w:pStyle w:val="Heading2"/>
        <w:spacing w:before="240" w:after="120"/>
        <w:ind w:left="0"/>
      </w:pPr>
      <w:r>
        <w:t>7.5 Governance</w:t>
      </w:r>
    </w:p>
    <w:p>
      <w:pPr>
        <w:spacing w:after="80"/>
        <w:ind w:left="360"/>
      </w:pPr>
      <w:r>
        <w:rPr>
          <w:rFonts w:ascii="Calibri" w:hAnsi="Calibri"/>
          <w:sz w:val="24"/>
        </w:rPr>
        <w:t xml:space="preserve">• </w:t>
      </w:r>
      <w:r>
        <w:rPr>
          <w:rFonts w:ascii="Calibri" w:hAnsi="Calibri"/>
          <w:sz w:val="24"/>
        </w:rPr>
        <w:t>Change control: All infrastructure changes require formal approval</w:t>
      </w:r>
    </w:p>
    <w:p>
      <w:pPr>
        <w:spacing w:after="80"/>
        <w:ind w:left="360"/>
      </w:pPr>
      <w:r>
        <w:rPr>
          <w:rFonts w:ascii="Calibri" w:hAnsi="Calibri"/>
          <w:sz w:val="24"/>
        </w:rPr>
        <w:t xml:space="preserve">• </w:t>
      </w:r>
      <w:r>
        <w:rPr>
          <w:rFonts w:ascii="Calibri" w:hAnsi="Calibri"/>
          <w:sz w:val="24"/>
        </w:rPr>
        <w:t>Resource quotas: GPU allocation policies per user/team</w:t>
      </w:r>
    </w:p>
    <w:p>
      <w:pPr>
        <w:spacing w:after="80"/>
        <w:ind w:left="360"/>
      </w:pPr>
      <w:r>
        <w:rPr>
          <w:rFonts w:ascii="Calibri" w:hAnsi="Calibri"/>
          <w:sz w:val="24"/>
        </w:rPr>
        <w:t xml:space="preserve">• </w:t>
      </w:r>
      <w:r>
        <w:rPr>
          <w:rFonts w:ascii="Calibri" w:hAnsi="Calibri"/>
          <w:sz w:val="24"/>
        </w:rPr>
        <w:t>Access reviews: Quarterly review of user access and permissions</w:t>
      </w:r>
    </w:p>
    <w:p>
      <w:pPr>
        <w:spacing w:after="80"/>
        <w:ind w:left="360"/>
      </w:pPr>
      <w:r>
        <w:rPr>
          <w:rFonts w:ascii="Calibri" w:hAnsi="Calibri"/>
          <w:sz w:val="24"/>
        </w:rPr>
        <w:t xml:space="preserve">• </w:t>
      </w:r>
      <w:r>
        <w:rPr>
          <w:rFonts w:ascii="Calibri" w:hAnsi="Calibri"/>
          <w:sz w:val="24"/>
        </w:rPr>
        <w:t>Incident response: Documented procedures for security incidents</w:t>
      </w:r>
    </w:p>
    <w:p>
      <w:pPr>
        <w:spacing w:after="80"/>
        <w:ind w:left="360"/>
      </w:pPr>
      <w:r>
        <w:rPr>
          <w:rFonts w:ascii="Calibri" w:hAnsi="Calibri"/>
          <w:sz w:val="24"/>
        </w:rPr>
        <w:t xml:space="preserve">• </w:t>
      </w:r>
      <w:r>
        <w:rPr>
          <w:rFonts w:ascii="Calibri" w:hAnsi="Calibri"/>
          <w:sz w:val="24"/>
        </w:rPr>
        <w:t>Asset management: Tracking of all DGX systems and components</w:t>
      </w:r>
    </w:p>
    <w:p>
      <w:pPr>
        <w:pStyle w:val="Heading2"/>
        <w:spacing w:before="240" w:after="120"/>
        <w:ind w:left="0"/>
      </w:pPr>
      <w:r>
        <w:t>7.6 Environments &amp; Access</w:t>
      </w:r>
    </w:p>
    <w:p>
      <w:pPr>
        <w:pStyle w:val="Heading3"/>
        <w:spacing w:before="160" w:after="120"/>
        <w:ind w:left="0"/>
      </w:pPr>
      <w:r>
        <w:t>7.6.1 Environment Strategy</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8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GPU Resources</w:t>
            </w:r>
          </w:p>
        </w:tc>
        <w:tc>
          <w:tcPr>
            <w:tcW w:type="dxa" w:w="20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Access</w:t>
            </w:r>
          </w:p>
        </w:tc>
      </w:tr>
      <w:tr>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 model training and inference</w:t>
            </w:r>
          </w:p>
        </w:tc>
        <w:tc>
          <w:tcPr>
            <w:tcW w:type="dxa" w:w="28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64 GPUs (8 DGX H100)</w:t>
            </w:r>
          </w:p>
        </w:tc>
        <w:tc>
          <w:tcPr>
            <w:tcW w:type="dxa" w:w="20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authorized users</w:t>
            </w:r>
          </w:p>
        </w:tc>
      </w:tr>
      <w:tr>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Code development, small-scale testing</w:t>
            </w:r>
          </w:p>
        </w:tc>
        <w:tc>
          <w:tcPr>
            <w:tcW w:type="dxa" w:w="28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 GPUs (reserved capacity)</w:t>
            </w:r>
          </w:p>
        </w:tc>
        <w:tc>
          <w:tcPr>
            <w:tcW w:type="dxa" w:w="20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 team</w:t>
            </w:r>
          </w:p>
        </w:tc>
      </w:tr>
      <w:tr>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Validation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Pre-production workload testing</w:t>
            </w:r>
          </w:p>
        </w:tc>
        <w:tc>
          <w:tcPr>
            <w:tcW w:type="dxa" w:w="28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 GPUs (reserved capacity)</w:t>
            </w:r>
          </w:p>
        </w:tc>
        <w:tc>
          <w:tcPr>
            <w:tcW w:type="dxa" w:w="20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and AI teams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Security And Compliance</w:t>
      </w:r>
    </w:p>
    <w:p>
      <w:pPr>
        <w:pStyle w:val="Heading3"/>
        <w:spacing w:before="160" w:after="120"/>
        <w:ind w:left="0"/>
      </w:pPr>
      <w:r>
        <w:t>7.6.2 Access Policies</w:t>
      </w:r>
    </w:p>
    <w:p>
      <w:pPr>
        <w:spacing w:after="80"/>
        <w:ind w:left="360"/>
      </w:pPr>
      <w:r>
        <w:rPr>
          <w:rFonts w:ascii="Calibri" w:hAnsi="Calibri"/>
          <w:sz w:val="24"/>
        </w:rPr>
        <w:t xml:space="preserve">• </w:t>
      </w:r>
      <w:r>
        <w:rPr>
          <w:rFonts w:ascii="Calibri" w:hAnsi="Calibri"/>
          <w:sz w:val="24"/>
        </w:rPr>
        <w:t>Multi-factor authentication (MFA) required for administrative access</w:t>
      </w:r>
    </w:p>
    <w:p>
      <w:pPr>
        <w:spacing w:after="80"/>
        <w:ind w:left="360"/>
      </w:pPr>
      <w:r>
        <w:rPr>
          <w:rFonts w:ascii="Calibri" w:hAnsi="Calibri"/>
          <w:sz w:val="24"/>
        </w:rPr>
        <w:t xml:space="preserve">• </w:t>
      </w:r>
      <w:r>
        <w:rPr>
          <w:rFonts w:ascii="Calibri" w:hAnsi="Calibri"/>
          <w:sz w:val="24"/>
        </w:rPr>
        <w:t>SSH key-based authentication for DGX system access</w:t>
      </w:r>
    </w:p>
    <w:p>
      <w:pPr>
        <w:spacing w:after="80"/>
        <w:ind w:left="360"/>
      </w:pPr>
      <w:r>
        <w:rPr>
          <w:rFonts w:ascii="Calibri" w:hAnsi="Calibri"/>
          <w:sz w:val="24"/>
        </w:rPr>
        <w:t xml:space="preserve">• </w:t>
      </w:r>
      <w:r>
        <w:rPr>
          <w:rFonts w:ascii="Calibri" w:hAnsi="Calibri"/>
          <w:sz w:val="24"/>
        </w:rPr>
        <w:t>Administrator Access: Full system access for infrastructure team</w:t>
      </w:r>
    </w:p>
    <w:p>
      <w:pPr>
        <w:spacing w:after="80"/>
        <w:ind w:left="360"/>
      </w:pPr>
      <w:r>
        <w:rPr>
          <w:rFonts w:ascii="Calibri" w:hAnsi="Calibri"/>
          <w:sz w:val="24"/>
        </w:rPr>
        <w:t xml:space="preserve">• </w:t>
      </w:r>
      <w:r>
        <w:rPr>
          <w:rFonts w:ascii="Calibri" w:hAnsi="Calibri"/>
          <w:sz w:val="24"/>
        </w:rPr>
        <w:t>Data Scientist Access: GPU resource allocation, job submission, data access</w:t>
      </w:r>
    </w:p>
    <w:p>
      <w:pPr>
        <w:spacing w:after="80"/>
        <w:ind w:left="360"/>
      </w:pPr>
      <w:r>
        <w:rPr>
          <w:rFonts w:ascii="Calibri" w:hAnsi="Calibri"/>
          <w:sz w:val="24"/>
        </w:rPr>
        <w:t xml:space="preserve">• </w:t>
      </w:r>
      <w:r>
        <w:rPr>
          <w:rFonts w:ascii="Calibri" w:hAnsi="Calibri"/>
          <w:sz w:val="24"/>
        </w:rPr>
        <w:t>Developer Access: Limited resource allocation for development and testing</w:t>
      </w:r>
    </w:p>
    <w:p>
      <w:pPr>
        <w:spacing w:after="80"/>
        <w:ind w:left="360"/>
      </w:pPr>
      <w:r>
        <w:rPr>
          <w:rFonts w:ascii="Calibri" w:hAnsi="Calibri"/>
          <w:sz w:val="24"/>
        </w:rPr>
        <w:t xml:space="preserve">• </w:t>
      </w:r>
      <w:r>
        <w:rPr>
          <w:rFonts w:ascii="Calibri" w:hAnsi="Calibri"/>
          <w:sz w:val="24"/>
        </w:rPr>
        <w:t>Viewer Access: Read-only access to monitoring dashboards and job status</w:t>
      </w:r>
    </w:p>
    <w:p>
      <w:pPr>
        <w:pStyle w:val="Heading1"/>
        <w:spacing w:before="160" w:after="120"/>
        <w:ind w:left="0"/>
      </w:pPr>
      <w:r>
        <w:t>8 Testing &amp; Validation</w:t>
      </w:r>
    </w:p>
    <w:p>
      <w:r>
        <w:rPr>
          <w:rFonts w:ascii="Calibri" w:hAnsi="Calibri"/>
          <w:sz w:val="24"/>
        </w:rPr>
        <w:t>Comprehensive testing and validation will take place throughout the implementation lifecycle to ensure functionality, performance, security, and reliability of the DGX SuperPOD infrastructure.</w:t>
      </w:r>
    </w:p>
    <w:p>
      <w:pPr>
        <w:pStyle w:val="Heading2"/>
        <w:spacing w:before="240" w:after="120"/>
        <w:ind w:left="0"/>
      </w:pPr>
      <w:r>
        <w:t>8.1 Functional Validation</w:t>
      </w:r>
    </w:p>
    <w:p>
      <w:pPr>
        <w:spacing w:after="80"/>
        <w:ind w:left="360"/>
      </w:pPr>
      <w:r>
        <w:rPr>
          <w:rFonts w:ascii="Calibri" w:hAnsi="Calibri"/>
          <w:sz w:val="24"/>
        </w:rPr>
        <w:t xml:space="preserve">• </w:t>
      </w:r>
      <w:r>
        <w:rPr>
          <w:rFonts w:ascii="Calibri" w:hAnsi="Calibri"/>
          <w:sz w:val="24"/>
        </w:rPr>
        <w:t>End-to-end AI training workflow validation</w:t>
      </w:r>
    </w:p>
    <w:p>
      <w:pPr>
        <w:spacing w:after="80"/>
        <w:ind w:left="360"/>
      </w:pPr>
      <w:r>
        <w:rPr>
          <w:rFonts w:ascii="Calibri" w:hAnsi="Calibri"/>
          <w:sz w:val="24"/>
        </w:rPr>
        <w:t xml:space="preserve">• </w:t>
      </w:r>
      <w:r>
        <w:rPr>
          <w:rFonts w:ascii="Calibri" w:hAnsi="Calibri"/>
          <w:sz w:val="24"/>
        </w:rPr>
        <w:t>Multi-GPU distributed training functionality</w:t>
      </w:r>
    </w:p>
    <w:p>
      <w:pPr>
        <w:spacing w:after="80"/>
        <w:ind w:left="360"/>
      </w:pPr>
      <w:r>
        <w:rPr>
          <w:rFonts w:ascii="Calibri" w:hAnsi="Calibri"/>
          <w:sz w:val="24"/>
        </w:rPr>
        <w:t xml:space="preserve">• </w:t>
      </w:r>
      <w:r>
        <w:rPr>
          <w:rFonts w:ascii="Calibri" w:hAnsi="Calibri"/>
          <w:sz w:val="24"/>
        </w:rPr>
        <w:t>Storage access and throughput validation</w:t>
      </w:r>
    </w:p>
    <w:p>
      <w:pPr>
        <w:spacing w:after="80"/>
        <w:ind w:left="360"/>
      </w:pPr>
      <w:r>
        <w:rPr>
          <w:rFonts w:ascii="Calibri" w:hAnsi="Calibri"/>
          <w:sz w:val="24"/>
        </w:rPr>
        <w:t xml:space="preserve">• </w:t>
      </w:r>
      <w:r>
        <w:rPr>
          <w:rFonts w:ascii="Calibri" w:hAnsi="Calibri"/>
          <w:sz w:val="24"/>
        </w:rPr>
        <w:t>Job scheduler and resource allocation testing</w:t>
      </w:r>
    </w:p>
    <w:p>
      <w:pPr>
        <w:spacing w:after="80"/>
        <w:ind w:left="360"/>
      </w:pPr>
      <w:r>
        <w:rPr>
          <w:rFonts w:ascii="Calibri" w:hAnsi="Calibri"/>
          <w:sz w:val="24"/>
        </w:rPr>
        <w:t xml:space="preserve">• </w:t>
      </w:r>
      <w:r>
        <w:rPr>
          <w:rFonts w:ascii="Calibri" w:hAnsi="Calibri"/>
          <w:sz w:val="24"/>
        </w:rPr>
        <w:t>User authentication and access control validation</w:t>
      </w:r>
    </w:p>
    <w:p>
      <w:pPr>
        <w:spacing w:after="80"/>
        <w:ind w:left="360"/>
      </w:pPr>
      <w:r>
        <w:rPr>
          <w:rFonts w:ascii="Calibri" w:hAnsi="Calibri"/>
          <w:sz w:val="24"/>
        </w:rPr>
        <w:t xml:space="preserve">• </w:t>
      </w:r>
      <w:r>
        <w:rPr>
          <w:rFonts w:ascii="Calibri" w:hAnsi="Calibri"/>
          <w:sz w:val="24"/>
        </w:rPr>
        <w:t>NGC container deployment and execution</w:t>
      </w:r>
    </w:p>
    <w:p>
      <w:pPr>
        <w:pStyle w:val="Heading2"/>
        <w:spacing w:before="240" w:after="120"/>
        <w:ind w:left="0"/>
      </w:pPr>
      <w:r>
        <w:t>8.2 Performance &amp; Load Testing</w:t>
      </w:r>
    </w:p>
    <w:p>
      <w:pPr>
        <w:spacing w:after="80"/>
        <w:ind w:left="360"/>
      </w:pPr>
      <w:r>
        <w:rPr>
          <w:rFonts w:ascii="Calibri" w:hAnsi="Calibri"/>
          <w:sz w:val="24"/>
        </w:rPr>
        <w:t xml:space="preserve">• </w:t>
      </w:r>
      <w:r>
        <w:rPr>
          <w:rFonts w:ascii="Calibri" w:hAnsi="Calibri"/>
          <w:sz w:val="24"/>
        </w:rPr>
        <w:t>Single-node multi-GPU performance benchmarking (8 H100s)</w:t>
      </w:r>
    </w:p>
    <w:p>
      <w:pPr>
        <w:spacing w:after="80"/>
        <w:ind w:left="360"/>
      </w:pPr>
      <w:r>
        <w:rPr>
          <w:rFonts w:ascii="Calibri" w:hAnsi="Calibri"/>
          <w:sz w:val="24"/>
        </w:rPr>
        <w:t xml:space="preserve">• </w:t>
      </w:r>
      <w:r>
        <w:rPr>
          <w:rFonts w:ascii="Calibri" w:hAnsi="Calibri"/>
          <w:sz w:val="24"/>
        </w:rPr>
        <w:t>Multi-node distributed training scaling (64 GPUs)</w:t>
      </w:r>
    </w:p>
    <w:p>
      <w:pPr>
        <w:spacing w:after="80"/>
        <w:ind w:left="360"/>
      </w:pPr>
      <w:r>
        <w:rPr>
          <w:rFonts w:ascii="Calibri" w:hAnsi="Calibri"/>
          <w:sz w:val="24"/>
        </w:rPr>
        <w:t xml:space="preserve">• </w:t>
      </w:r>
      <w:r>
        <w:rPr>
          <w:rFonts w:ascii="Calibri" w:hAnsi="Calibri"/>
          <w:sz w:val="24"/>
        </w:rPr>
        <w:t>InfiniBand fabric bandwidth and latency validation</w:t>
      </w:r>
    </w:p>
    <w:p>
      <w:pPr>
        <w:spacing w:after="80"/>
        <w:ind w:left="360"/>
      </w:pPr>
      <w:r>
        <w:rPr>
          <w:rFonts w:ascii="Calibri" w:hAnsi="Calibri"/>
          <w:sz w:val="24"/>
        </w:rPr>
        <w:t xml:space="preserve">• </w:t>
      </w:r>
      <w:r>
        <w:rPr>
          <w:rFonts w:ascii="Calibri" w:hAnsi="Calibri"/>
          <w:sz w:val="24"/>
        </w:rPr>
        <w:t>Storage throughput testing (14 GB/s sustained)</w:t>
      </w:r>
    </w:p>
    <w:p>
      <w:pPr>
        <w:spacing w:after="80"/>
        <w:ind w:left="360"/>
      </w:pPr>
      <w:r>
        <w:rPr>
          <w:rFonts w:ascii="Calibri" w:hAnsi="Calibri"/>
          <w:sz w:val="24"/>
        </w:rPr>
        <w:t xml:space="preserve">• </w:t>
      </w:r>
      <w:r>
        <w:rPr>
          <w:rFonts w:ascii="Calibri" w:hAnsi="Calibri"/>
          <w:sz w:val="24"/>
        </w:rPr>
        <w:t>NCCL all-reduce performance validation</w:t>
      </w:r>
    </w:p>
    <w:p>
      <w:pPr>
        <w:spacing w:after="80"/>
        <w:ind w:left="360"/>
      </w:pPr>
      <w:r>
        <w:rPr>
          <w:rFonts w:ascii="Calibri" w:hAnsi="Calibri"/>
          <w:sz w:val="24"/>
        </w:rPr>
        <w:t xml:space="preserve">• </w:t>
      </w:r>
      <w:r>
        <w:rPr>
          <w:rFonts w:ascii="Calibri" w:hAnsi="Calibri"/>
          <w:sz w:val="24"/>
        </w:rPr>
        <w:t>Concurrent multi-user workload testing</w:t>
      </w:r>
    </w:p>
    <w:p>
      <w:pPr>
        <w:pStyle w:val="Heading2"/>
        <w:spacing w:before="240" w:after="120"/>
        <w:ind w:left="0"/>
      </w:pPr>
      <w:r>
        <w:t>8.3 Security Testing</w:t>
      </w:r>
    </w:p>
    <w:p>
      <w:pPr>
        <w:spacing w:after="80"/>
        <w:ind w:left="360"/>
      </w:pPr>
      <w:r>
        <w:rPr>
          <w:rFonts w:ascii="Calibri" w:hAnsi="Calibri"/>
          <w:sz w:val="24"/>
        </w:rPr>
        <w:t xml:space="preserve">• </w:t>
      </w:r>
      <w:r>
        <w:rPr>
          <w:rFonts w:ascii="Calibri" w:hAnsi="Calibri"/>
          <w:sz w:val="24"/>
        </w:rPr>
        <w:t>Access control and authentication validation</w:t>
      </w:r>
    </w:p>
    <w:p>
      <w:pPr>
        <w:spacing w:after="80"/>
        <w:ind w:left="360"/>
      </w:pPr>
      <w:r>
        <w:rPr>
          <w:rFonts w:ascii="Calibri" w:hAnsi="Calibri"/>
          <w:sz w:val="24"/>
        </w:rPr>
        <w:t xml:space="preserve">• </w:t>
      </w:r>
      <w:r>
        <w:rPr>
          <w:rFonts w:ascii="Calibri" w:hAnsi="Calibri"/>
          <w:sz w:val="24"/>
        </w:rPr>
        <w:t>Network segmentation and firewall rules testing</w:t>
      </w:r>
    </w:p>
    <w:p>
      <w:pPr>
        <w:spacing w:after="80"/>
        <w:ind w:left="360"/>
      </w:pPr>
      <w:r>
        <w:rPr>
          <w:rFonts w:ascii="Calibri" w:hAnsi="Calibri"/>
          <w:sz w:val="24"/>
        </w:rPr>
        <w:t xml:space="preserve">• </w:t>
      </w:r>
      <w:r>
        <w:rPr>
          <w:rFonts w:ascii="Calibri" w:hAnsi="Calibri"/>
          <w:sz w:val="24"/>
        </w:rPr>
        <w:t>Encryption validation (data at rest and in transit)</w:t>
      </w:r>
    </w:p>
    <w:p>
      <w:pPr>
        <w:spacing w:after="80"/>
        <w:ind w:left="360"/>
      </w:pPr>
      <w:r>
        <w:rPr>
          <w:rFonts w:ascii="Calibri" w:hAnsi="Calibri"/>
          <w:sz w:val="24"/>
        </w:rPr>
        <w:t xml:space="preserve">• </w:t>
      </w:r>
      <w:r>
        <w:rPr>
          <w:rFonts w:ascii="Calibri" w:hAnsi="Calibri"/>
          <w:sz w:val="24"/>
        </w:rPr>
        <w:t>Vulnerability scanning and penetration testing</w:t>
      </w:r>
    </w:p>
    <w:p>
      <w:pPr>
        <w:spacing w:after="80"/>
        <w:ind w:left="360"/>
      </w:pPr>
      <w:r>
        <w:rPr>
          <w:rFonts w:ascii="Calibri" w:hAnsi="Calibri"/>
          <w:sz w:val="24"/>
        </w:rPr>
        <w:t xml:space="preserve">• </w:t>
      </w:r>
      <w:r>
        <w:rPr>
          <w:rFonts w:ascii="Calibri" w:hAnsi="Calibri"/>
          <w:sz w:val="24"/>
        </w:rPr>
        <w:t>Compliance validation (SOC2, data residency)</w:t>
      </w:r>
    </w:p>
    <w:p>
      <w:pPr>
        <w:pStyle w:val="Heading2"/>
        <w:spacing w:before="240" w:after="120"/>
        <w:ind w:left="0"/>
      </w:pPr>
      <w:r>
        <w:t>8.4 Disaster Recovery &amp; Resilience Tests</w:t>
      </w:r>
    </w:p>
    <w:p>
      <w:pPr>
        <w:spacing w:after="80"/>
        <w:ind w:left="360"/>
      </w:pPr>
      <w:r>
        <w:rPr>
          <w:rFonts w:ascii="Calibri" w:hAnsi="Calibri"/>
          <w:sz w:val="24"/>
        </w:rPr>
        <w:t xml:space="preserve">• </w:t>
      </w:r>
      <w:r>
        <w:rPr>
          <w:rFonts w:ascii="Calibri" w:hAnsi="Calibri"/>
          <w:sz w:val="24"/>
        </w:rPr>
        <w:t>InfiniBand failover and redundancy validation</w:t>
      </w:r>
    </w:p>
    <w:p>
      <w:pPr>
        <w:spacing w:after="80"/>
        <w:ind w:left="360"/>
      </w:pPr>
      <w:r>
        <w:rPr>
          <w:rFonts w:ascii="Calibri" w:hAnsi="Calibri"/>
          <w:sz w:val="24"/>
        </w:rPr>
        <w:t xml:space="preserve">• </w:t>
      </w:r>
      <w:r>
        <w:rPr>
          <w:rFonts w:ascii="Calibri" w:hAnsi="Calibri"/>
          <w:sz w:val="24"/>
        </w:rPr>
        <w:t>Storage RAID failure and rebuild testing</w:t>
      </w:r>
    </w:p>
    <w:p>
      <w:pPr>
        <w:spacing w:after="80"/>
        <w:ind w:left="360"/>
      </w:pPr>
      <w:r>
        <w:rPr>
          <w:rFonts w:ascii="Calibri" w:hAnsi="Calibri"/>
          <w:sz w:val="24"/>
        </w:rPr>
        <w:t xml:space="preserve">• </w:t>
      </w:r>
      <w:r>
        <w:rPr>
          <w:rFonts w:ascii="Calibri" w:hAnsi="Calibri"/>
          <w:sz w:val="24"/>
        </w:rPr>
        <w:t>DGX system failure and job recovery</w:t>
      </w:r>
    </w:p>
    <w:p>
      <w:pPr>
        <w:spacing w:after="80"/>
        <w:ind w:left="360"/>
      </w:pPr>
      <w:r>
        <w:rPr>
          <w:rFonts w:ascii="Calibri" w:hAnsi="Calibri"/>
          <w:sz w:val="24"/>
        </w:rPr>
        <w:t xml:space="preserve">• </w:t>
      </w:r>
      <w:r>
        <w:rPr>
          <w:rFonts w:ascii="Calibri" w:hAnsi="Calibri"/>
          <w:sz w:val="24"/>
        </w:rPr>
        <w:t>Backup and restore validation</w:t>
      </w:r>
    </w:p>
    <w:p>
      <w:pPr>
        <w:spacing w:after="80"/>
        <w:ind w:left="360"/>
      </w:pPr>
      <w:r>
        <w:rPr>
          <w:rFonts w:ascii="Calibri" w:hAnsi="Calibri"/>
          <w:sz w:val="24"/>
        </w:rPr>
        <w:t xml:space="preserve">• </w:t>
      </w:r>
      <w:r>
        <w:rPr>
          <w:rFonts w:ascii="Calibri" w:hAnsi="Calibri"/>
          <w:sz w:val="24"/>
        </w:rPr>
        <w:t>Power failure and UPS testing</w:t>
      </w:r>
    </w:p>
    <w:p>
      <w:pPr>
        <w:pStyle w:val="Heading2"/>
        <w:spacing w:before="240" w:after="120"/>
        <w:ind w:left="0"/>
      </w:pPr>
      <w:r>
        <w:t>8.5 User Acceptance Testing (UAT)</w:t>
      </w:r>
    </w:p>
    <w:p>
      <w:pPr>
        <w:spacing w:after="80"/>
        <w:ind w:left="360"/>
      </w:pPr>
      <w:r>
        <w:rPr>
          <w:rFonts w:ascii="Calibri" w:hAnsi="Calibri"/>
          <w:sz w:val="24"/>
        </w:rPr>
        <w:t xml:space="preserve">• </w:t>
      </w:r>
      <w:r>
        <w:rPr>
          <w:rFonts w:ascii="Calibri" w:hAnsi="Calibri"/>
          <w:sz w:val="24"/>
        </w:rPr>
        <w:t>Performed in coordination with Client data science team</w:t>
      </w:r>
    </w:p>
    <w:p>
      <w:pPr>
        <w:spacing w:after="80"/>
        <w:ind w:left="360"/>
      </w:pPr>
      <w:r>
        <w:rPr>
          <w:rFonts w:ascii="Calibri" w:hAnsi="Calibri"/>
          <w:sz w:val="24"/>
        </w:rPr>
        <w:t xml:space="preserve">• </w:t>
      </w:r>
      <w:r>
        <w:rPr>
          <w:rFonts w:ascii="Calibri" w:hAnsi="Calibri"/>
          <w:sz w:val="24"/>
        </w:rPr>
        <w:t>Real AI workloads executed on DGX SuperPOD</w:t>
      </w:r>
    </w:p>
    <w:p>
      <w:pPr>
        <w:spacing w:after="80"/>
        <w:ind w:left="360"/>
      </w:pPr>
      <w:r>
        <w:rPr>
          <w:rFonts w:ascii="Calibri" w:hAnsi="Calibri"/>
          <w:sz w:val="24"/>
        </w:rPr>
        <w:t xml:space="preserve">• </w:t>
      </w:r>
      <w:r>
        <w:rPr>
          <w:rFonts w:ascii="Calibri" w:hAnsi="Calibri"/>
          <w:sz w:val="24"/>
        </w:rPr>
        <w:t>Performance validation against baseline (cloud GPU)</w:t>
      </w:r>
    </w:p>
    <w:p>
      <w:pPr>
        <w:spacing w:after="80"/>
        <w:ind w:left="360"/>
      </w:pPr>
      <w:r>
        <w:rPr>
          <w:rFonts w:ascii="Calibri" w:hAnsi="Calibri"/>
          <w:sz w:val="24"/>
        </w:rPr>
        <w:t xml:space="preserve">• </w:t>
      </w:r>
      <w:r>
        <w:rPr>
          <w:rFonts w:ascii="Calibri" w:hAnsi="Calibri"/>
          <w:sz w:val="24"/>
        </w:rPr>
        <w:t>User workflow and job submission testing</w:t>
      </w:r>
    </w:p>
    <w:p>
      <w:pPr>
        <w:spacing w:after="80"/>
        <w:ind w:left="360"/>
      </w:pPr>
      <w:r>
        <w:rPr>
          <w:rFonts w:ascii="Calibri" w:hAnsi="Calibri"/>
          <w:sz w:val="24"/>
        </w:rPr>
        <w:t xml:space="preserve">• </w:t>
      </w:r>
      <w:r>
        <w:rPr>
          <w:rFonts w:ascii="Calibri" w:hAnsi="Calibri"/>
          <w:sz w:val="24"/>
        </w:rPr>
        <w:t>Training and documentation validation</w:t>
      </w:r>
    </w:p>
    <w:p>
      <w:pPr>
        <w:pStyle w:val="Heading2"/>
        <w:spacing w:before="240" w:after="120"/>
        <w:ind w:left="0"/>
      </w:pPr>
      <w:r>
        <w:t>8.6 Go-Live Readiness</w:t>
      </w:r>
    </w:p>
    <w:p>
      <w:r>
        <w:rPr>
          <w:rFonts w:ascii="Calibri" w:hAnsi="Calibri"/>
          <w:sz w:val="24"/>
        </w:rPr>
        <w:t>A Go-Live Readiness Checklist will be delivered including:</w:t>
      </w:r>
    </w:p>
    <w:p>
      <w:pPr>
        <w:spacing w:after="80"/>
        <w:ind w:left="360"/>
      </w:pPr>
      <w:r>
        <w:rPr>
          <w:rFonts w:ascii="Calibri" w:hAnsi="Calibri"/>
          <w:sz w:val="24"/>
        </w:rPr>
        <w:t xml:space="preserve">• </w:t>
      </w:r>
      <w:r>
        <w:rPr>
          <w:rFonts w:ascii="Calibri" w:hAnsi="Calibri"/>
          <w:sz w:val="24"/>
        </w:rPr>
        <w:t>Security and compliance sign-offs</w:t>
      </w:r>
    </w:p>
    <w:p>
      <w:pPr>
        <w:spacing w:after="80"/>
        <w:ind w:left="360"/>
      </w:pPr>
      <w:r>
        <w:rPr>
          <w:rFonts w:ascii="Calibri" w:hAnsi="Calibri"/>
          <w:sz w:val="24"/>
        </w:rPr>
        <w:t xml:space="preserve">• </w:t>
      </w:r>
      <w:r>
        <w:rPr>
          <w:rFonts w:ascii="Calibri" w:hAnsi="Calibri"/>
          <w:sz w:val="24"/>
        </w:rPr>
        <w:t>Performance benchmarking completion (32 petaFLOPS validated)</w:t>
      </w:r>
    </w:p>
    <w:p>
      <w:pPr>
        <w:spacing w:after="80"/>
        <w:ind w:left="360"/>
      </w:pPr>
      <w:r>
        <w:rPr>
          <w:rFonts w:ascii="Calibri" w:hAnsi="Calibri"/>
          <w:sz w:val="24"/>
        </w:rPr>
        <w:t xml:space="preserve">• </w:t>
      </w:r>
      <w:r>
        <w:rPr>
          <w:rFonts w:ascii="Calibri" w:hAnsi="Calibri"/>
          <w:sz w:val="24"/>
        </w:rPr>
        <w:t>Multi-GPU scaling validation (near-linear to 64 GPUs)</w:t>
      </w:r>
    </w:p>
    <w:p>
      <w:pPr>
        <w:spacing w:after="80"/>
        <w:ind w:left="360"/>
      </w:pPr>
      <w:r>
        <w:rPr>
          <w:rFonts w:ascii="Calibri" w:hAnsi="Calibri"/>
          <w:sz w:val="24"/>
        </w:rPr>
        <w:t xml:space="preserve">• </w:t>
      </w:r>
      <w:r>
        <w:rPr>
          <w:rFonts w:ascii="Calibri" w:hAnsi="Calibri"/>
          <w:sz w:val="24"/>
        </w:rPr>
        <w:t>Storage throughput validation (14 GB/s sustained)</w:t>
      </w:r>
    </w:p>
    <w:p>
      <w:pPr>
        <w:spacing w:after="80"/>
        <w:ind w:left="360"/>
      </w:pPr>
      <w:r>
        <w:rPr>
          <w:rFonts w:ascii="Calibri" w:hAnsi="Calibri"/>
          <w:sz w:val="24"/>
        </w:rPr>
        <w:t xml:space="preserve">• </w:t>
      </w:r>
      <w:r>
        <w:rPr>
          <w:rFonts w:ascii="Calibri" w:hAnsi="Calibri"/>
          <w:sz w:val="24"/>
        </w:rPr>
        <w:t>Infrastructure reliability checks</w:t>
      </w:r>
    </w:p>
    <w:p>
      <w:pPr>
        <w:spacing w:after="80"/>
        <w:ind w:left="360"/>
      </w:pPr>
      <w:r>
        <w:rPr>
          <w:rFonts w:ascii="Calibri" w:hAnsi="Calibri"/>
          <w:sz w:val="24"/>
        </w:rPr>
        <w:t xml:space="preserve">• </w:t>
      </w:r>
      <w:r>
        <w:rPr>
          <w:rFonts w:ascii="Calibri" w:hAnsi="Calibri"/>
          <w:sz w:val="24"/>
        </w:rPr>
        <w:t>Issue log closure (all critical/high issues resolved)</w:t>
      </w:r>
    </w:p>
    <w:p>
      <w:pPr>
        <w:spacing w:after="80"/>
        <w:ind w:left="360"/>
      </w:pPr>
      <w:r>
        <w:rPr>
          <w:rFonts w:ascii="Calibri" w:hAnsi="Calibri"/>
          <w:sz w:val="24"/>
        </w:rPr>
        <w:t xml:space="preserve">• </w:t>
      </w:r>
      <w:r>
        <w:rPr>
          <w:rFonts w:ascii="Calibri" w:hAnsi="Calibri"/>
          <w:sz w:val="24"/>
        </w:rPr>
        <w:t>Training completion</w:t>
      </w:r>
    </w:p>
    <w:p>
      <w:pPr>
        <w:spacing w:after="80"/>
        <w:ind w:left="360"/>
      </w:pPr>
      <w:r>
        <w:rPr>
          <w:rFonts w:ascii="Calibri" w:hAnsi="Calibri"/>
          <w:sz w:val="24"/>
        </w:rPr>
        <w:t xml:space="preserve">• </w:t>
      </w:r>
      <w:r>
        <w:rPr>
          <w:rFonts w:ascii="Calibri" w:hAnsi="Calibri"/>
          <w:sz w:val="24"/>
        </w:rPr>
        <w:t>Documentation delivery</w:t>
      </w:r>
    </w:p>
    <w:p>
      <w:pPr>
        <w:pStyle w:val="Heading2"/>
        <w:spacing w:before="240" w:after="120"/>
        <w:ind w:left="0"/>
      </w:pPr>
      <w:r>
        <w:t>8.7 Cutover Plan</w:t>
      </w:r>
    </w:p>
    <w:p>
      <w:r>
        <w:rPr>
          <w:rFonts w:ascii="Calibri" w:hAnsi="Calibri"/>
          <w:sz w:val="24"/>
        </w:rPr>
        <w:t>The cutover to the NVIDIA DGX SuperPOD infrastructure will be executed using a controlled, phased approach to minimize business disruption and ensure seamless transition from cloud GPU resources. The cutover will occur during an approved maintenance window with all stakeholders notified in advance.</w:t>
      </w:r>
    </w:p>
    <w:p>
      <w:r>
        <w:rPr>
          <w:rFonts w:ascii="Calibri" w:hAnsi="Calibri"/>
          <w:b/>
          <w:sz w:val="24"/>
        </w:rPr>
        <w:t>Cutover Approach:</w:t>
      </w:r>
    </w:p>
    <w:p>
      <w:r>
        <w:rPr>
          <w:rFonts w:ascii="Calibri" w:hAnsi="Calibri"/>
          <w:sz w:val="24"/>
        </w:rPr>
        <w:t xml:space="preserve">The implementation follows a </w:t>
      </w:r>
      <w:r>
        <w:rPr>
          <w:rFonts w:ascii="Calibri" w:hAnsi="Calibri"/>
          <w:b/>
          <w:sz w:val="24"/>
        </w:rPr>
        <w:t>parallel processing</w:t>
      </w:r>
      <w:r>
        <w:rPr>
          <w:rFonts w:ascii="Calibri" w:hAnsi="Calibri"/>
          <w:sz w:val="24"/>
        </w:rPr>
        <w:t xml:space="preserve"> strategy where the new DGX SuperPOD will run alongside existing cloud GPU infrastructure during an initial validation period. This approach allows for:</w:t>
      </w:r>
    </w:p>
    <w:p>
      <w:pPr>
        <w:spacing w:after="80"/>
        <w:ind w:left="360"/>
      </w:pPr>
      <w:r>
        <w:rPr>
          <w:rFonts w:ascii="Calibri" w:hAnsi="Calibri"/>
          <w:sz w:val="24"/>
        </w:rPr>
        <w:t xml:space="preserve">1. </w:t>
      </w:r>
      <w:r>
        <w:rPr>
          <w:rFonts w:ascii="Calibri" w:hAnsi="Calibri"/>
          <w:b/>
          <w:sz w:val="24"/>
        </w:rPr>
        <w:t>Pilot Phase (Week 1):</w:t>
      </w:r>
      <w:r>
        <w:rPr>
          <w:rFonts w:ascii="Calibri" w:hAnsi="Calibri"/>
          <w:sz w:val="24"/>
        </w:rPr>
        <w:t xml:space="preserve"> Run small-scale training jobs (single DGX, 8 GPUs) to validate functionality with zero production impact. Data scientists test job submission, data access, and model checkpointing.</w:t>
      </w:r>
    </w:p>
    <w:p>
      <w:pPr>
        <w:spacing w:after="80"/>
        <w:ind w:left="360"/>
      </w:pPr>
      <w:r>
        <w:rPr>
          <w:rFonts w:ascii="Calibri" w:hAnsi="Calibri"/>
          <w:sz w:val="24"/>
        </w:rPr>
        <w:t xml:space="preserve">2. </w:t>
      </w:r>
      <w:r>
        <w:rPr>
          <w:rFonts w:ascii="Calibri" w:hAnsi="Calibri"/>
          <w:b/>
          <w:sz w:val="24"/>
        </w:rPr>
        <w:t>Scaling Validation (Week 2):</w:t>
      </w:r>
      <w:r>
        <w:rPr>
          <w:rFonts w:ascii="Calibri" w:hAnsi="Calibri"/>
          <w:sz w:val="24"/>
        </w:rPr>
        <w:t xml:space="preserve"> Execute multi-node distributed training jobs (up to 64 GPUs) with benchmark workloads. Validate InfiniBand performance, NCCL scaling, and storage throughput. Compare training time to cloud baseline.</w:t>
      </w:r>
    </w:p>
    <w:p>
      <w:pPr>
        <w:spacing w:after="80"/>
        <w:ind w:left="360"/>
      </w:pPr>
      <w:r>
        <w:rPr>
          <w:rFonts w:ascii="Calibri" w:hAnsi="Calibri"/>
          <w:sz w:val="24"/>
        </w:rPr>
        <w:t xml:space="preserve">3. </w:t>
      </w:r>
      <w:r>
        <w:rPr>
          <w:rFonts w:ascii="Calibri" w:hAnsi="Calibri"/>
          <w:b/>
          <w:sz w:val="24"/>
        </w:rPr>
        <w:t>Progressive Migration (Week 3-4):</w:t>
      </w:r>
      <w:r>
        <w:rPr>
          <w:rFonts w:ascii="Calibri" w:hAnsi="Calibri"/>
          <w:sz w:val="24"/>
        </w:rPr>
        <w:t xml:space="preserve"> Gradually migrate production workloads from cloud to on-premises:</w:t>
      </w:r>
    </w:p>
    <w:p>
      <w:pPr>
        <w:spacing w:after="80"/>
        <w:ind w:left="360"/>
      </w:pPr>
      <w:r>
        <w:rPr>
          <w:rFonts w:ascii="Calibri" w:hAnsi="Calibri"/>
          <w:sz w:val="24"/>
        </w:rPr>
        <w:t xml:space="preserve">• </w:t>
      </w:r>
      <w:r>
        <w:rPr>
          <w:rFonts w:ascii="Calibri" w:hAnsi="Calibri"/>
          <w:sz w:val="24"/>
        </w:rPr>
        <w:t>Week 3: 25% of GPU workloads on DGX, 75% on cloud (monitor and tune)</w:t>
      </w:r>
    </w:p>
    <w:p>
      <w:pPr>
        <w:spacing w:after="80"/>
        <w:ind w:left="360"/>
      </w:pPr>
      <w:r>
        <w:rPr>
          <w:rFonts w:ascii="Calibri" w:hAnsi="Calibri"/>
          <w:sz w:val="24"/>
        </w:rPr>
        <w:t xml:space="preserve">• </w:t>
      </w:r>
      <w:r>
        <w:rPr>
          <w:rFonts w:ascii="Calibri" w:hAnsi="Calibri"/>
          <w:sz w:val="24"/>
        </w:rPr>
        <w:t>Week 4: 75% of GPU workloads on DGX, 25% on cloud as backup</w:t>
      </w:r>
    </w:p>
    <w:p>
      <w:pPr>
        <w:spacing w:after="80"/>
        <w:ind w:left="360"/>
      </w:pPr>
      <w:r>
        <w:rPr>
          <w:rFonts w:ascii="Calibri" w:hAnsi="Calibri"/>
          <w:sz w:val="24"/>
        </w:rPr>
        <w:t xml:space="preserve">• </w:t>
      </w:r>
      <w:r>
        <w:rPr>
          <w:rFonts w:ascii="Calibri" w:hAnsi="Calibri"/>
          <w:sz w:val="24"/>
        </w:rPr>
        <w:t>End of Week 4: Full cutover to 100% on-premises with cloud available for overflow</w:t>
      </w:r>
    </w:p>
    <w:p>
      <w:pPr>
        <w:spacing w:after="80"/>
        <w:ind w:left="360"/>
      </w:pPr>
      <w:r>
        <w:rPr>
          <w:rFonts w:ascii="Calibri" w:hAnsi="Calibri"/>
          <w:sz w:val="24"/>
        </w:rPr>
        <w:t xml:space="preserve">4. </w:t>
      </w:r>
      <w:r>
        <w:rPr>
          <w:rFonts w:ascii="Calibri" w:hAnsi="Calibri"/>
          <w:b/>
          <w:sz w:val="24"/>
        </w:rPr>
        <w:t>Hypercare Period (4 weeks post-cutover):</w:t>
      </w:r>
      <w:r>
        <w:rPr>
          <w:rFonts w:ascii="Calibri" w:hAnsi="Calibri"/>
          <w:sz w:val="24"/>
        </w:rPr>
        <w:t xml:space="preserve"> Daily monitoring, rapid issue resolution, and workload optimization to ensure stable operations and maximum GPU utilization.</w:t>
      </w:r>
    </w:p>
    <w:p>
      <w:r>
        <w:rPr>
          <w:rFonts w:ascii="Calibri" w:hAnsi="Calibri"/>
          <w:sz w:val="24"/>
        </w:rPr>
        <w:t>The cutover will be executed during a pre-approved maintenance window (recommended: weekend) with cloud GPU resources available as fallback if critical issues arise.</w:t>
      </w:r>
    </w:p>
    <w:p>
      <w:pPr>
        <w:pStyle w:val="Heading2"/>
        <w:spacing w:before="240" w:after="120"/>
        <w:ind w:left="0"/>
      </w:pPr>
      <w:r>
        <w:t>8.8 Cutover Checklist</w:t>
      </w:r>
    </w:p>
    <w:p>
      <w:pPr>
        <w:spacing w:after="80"/>
        <w:ind w:left="360"/>
      </w:pPr>
      <w:r>
        <w:rPr>
          <w:rFonts w:ascii="Calibri" w:hAnsi="Calibri"/>
          <w:sz w:val="24"/>
        </w:rPr>
        <w:t xml:space="preserve">• </w:t>
      </w:r>
      <w:r>
        <w:rPr>
          <w:rFonts w:ascii="Calibri" w:hAnsi="Calibri"/>
          <w:sz w:val="24"/>
        </w:rPr>
        <w:t>Pre-cutover validation: Performance benchmarks passed, UAT sign-off</w:t>
      </w:r>
    </w:p>
    <w:p>
      <w:pPr>
        <w:spacing w:after="80"/>
        <w:ind w:left="360"/>
      </w:pPr>
      <w:r>
        <w:rPr>
          <w:rFonts w:ascii="Calibri" w:hAnsi="Calibri"/>
          <w:sz w:val="24"/>
        </w:rPr>
        <w:t xml:space="preserve">• </w:t>
      </w:r>
      <w:r>
        <w:rPr>
          <w:rFonts w:ascii="Calibri" w:hAnsi="Calibri"/>
          <w:sz w:val="24"/>
        </w:rPr>
        <w:t>Production environment validated and monitoring operational</w:t>
      </w:r>
    </w:p>
    <w:p>
      <w:pPr>
        <w:spacing w:after="80"/>
        <w:ind w:left="360"/>
      </w:pPr>
      <w:r>
        <w:rPr>
          <w:rFonts w:ascii="Calibri" w:hAnsi="Calibri"/>
          <w:sz w:val="24"/>
        </w:rPr>
        <w:t xml:space="preserve">• </w:t>
      </w:r>
      <w:r>
        <w:rPr>
          <w:rFonts w:ascii="Calibri" w:hAnsi="Calibri"/>
          <w:sz w:val="24"/>
        </w:rPr>
        <w:t>Fallback procedures documented (cloud GPU access maintained)</w:t>
      </w:r>
    </w:p>
    <w:p>
      <w:pPr>
        <w:spacing w:after="80"/>
        <w:ind w:left="360"/>
      </w:pPr>
      <w:r>
        <w:rPr>
          <w:rFonts w:ascii="Calibri" w:hAnsi="Calibri"/>
          <w:sz w:val="24"/>
        </w:rPr>
        <w:t xml:space="preserve">• </w:t>
      </w:r>
      <w:r>
        <w:rPr>
          <w:rFonts w:ascii="Calibri" w:hAnsi="Calibri"/>
          <w:sz w:val="24"/>
        </w:rPr>
        <w:t>Stakeholder communication completed</w:t>
      </w:r>
    </w:p>
    <w:p>
      <w:pPr>
        <w:spacing w:after="80"/>
        <w:ind w:left="360"/>
      </w:pPr>
      <w:r>
        <w:rPr>
          <w:rFonts w:ascii="Calibri" w:hAnsi="Calibri"/>
          <w:sz w:val="24"/>
        </w:rPr>
        <w:t xml:space="preserve">• </w:t>
      </w:r>
      <w:r>
        <w:rPr>
          <w:rFonts w:ascii="Calibri" w:hAnsi="Calibri"/>
          <w:sz w:val="24"/>
        </w:rPr>
        <w:t>Enable user access to DGX SuperPOD</w:t>
      </w:r>
    </w:p>
    <w:p>
      <w:pPr>
        <w:spacing w:after="80"/>
        <w:ind w:left="360"/>
      </w:pPr>
      <w:r>
        <w:rPr>
          <w:rFonts w:ascii="Calibri" w:hAnsi="Calibri"/>
          <w:sz w:val="24"/>
        </w:rPr>
        <w:t xml:space="preserve">• </w:t>
      </w:r>
      <w:r>
        <w:rPr>
          <w:rFonts w:ascii="Calibri" w:hAnsi="Calibri"/>
          <w:sz w:val="24"/>
        </w:rPr>
        <w:t>Monitor first batch of production training jobs</w:t>
      </w:r>
    </w:p>
    <w:p>
      <w:pPr>
        <w:spacing w:after="80"/>
        <w:ind w:left="360"/>
      </w:pPr>
      <w:r>
        <w:rPr>
          <w:rFonts w:ascii="Calibri" w:hAnsi="Calibri"/>
          <w:sz w:val="24"/>
        </w:rPr>
        <w:t xml:space="preserve">• </w:t>
      </w:r>
      <w:r>
        <w:rPr>
          <w:rFonts w:ascii="Calibri" w:hAnsi="Calibri"/>
          <w:sz w:val="24"/>
        </w:rPr>
        <w:t>Verify multi-GPU scaling and InfiniBand performance</w:t>
      </w:r>
    </w:p>
    <w:p>
      <w:pPr>
        <w:spacing w:after="80"/>
        <w:ind w:left="360"/>
      </w:pPr>
      <w:r>
        <w:rPr>
          <w:rFonts w:ascii="Calibri" w:hAnsi="Calibri"/>
          <w:sz w:val="24"/>
        </w:rPr>
        <w:t xml:space="preserve">• </w:t>
      </w:r>
      <w:r>
        <w:rPr>
          <w:rFonts w:ascii="Calibri" w:hAnsi="Calibri"/>
          <w:sz w:val="24"/>
        </w:rPr>
        <w:t>Daily monitoring during hypercare period (4 weeks)</w:t>
      </w:r>
    </w:p>
    <w:p>
      <w:pPr>
        <w:pStyle w:val="Heading2"/>
        <w:spacing w:before="240" w:after="120"/>
        <w:ind w:left="0"/>
      </w:pPr>
      <w:r>
        <w:t>8.9 Rollback Strategy</w:t>
      </w:r>
    </w:p>
    <w:p>
      <w:pPr>
        <w:spacing w:after="80"/>
        <w:ind w:left="360"/>
      </w:pPr>
      <w:r>
        <w:rPr>
          <w:rFonts w:ascii="Calibri" w:hAnsi="Calibri"/>
          <w:sz w:val="24"/>
        </w:rPr>
        <w:t xml:space="preserve">• </w:t>
      </w:r>
      <w:r>
        <w:rPr>
          <w:rFonts w:ascii="Calibri" w:hAnsi="Calibri"/>
          <w:sz w:val="24"/>
        </w:rPr>
        <w:t>Documented rollback triggers (GPU failures, InfiniBand issues, storage unavailability)</w:t>
      </w:r>
    </w:p>
    <w:p>
      <w:pPr>
        <w:spacing w:after="80"/>
        <w:ind w:left="360"/>
      </w:pPr>
      <w:r>
        <w:rPr>
          <w:rFonts w:ascii="Calibri" w:hAnsi="Calibri"/>
          <w:sz w:val="24"/>
        </w:rPr>
        <w:t xml:space="preserve">• </w:t>
      </w:r>
      <w:r>
        <w:rPr>
          <w:rFonts w:ascii="Calibri" w:hAnsi="Calibri"/>
          <w:sz w:val="24"/>
        </w:rPr>
        <w:t>Rollback procedures: Redirect workloads to cloud GPU instances</w:t>
      </w:r>
    </w:p>
    <w:p>
      <w:pPr>
        <w:spacing w:after="80"/>
        <w:ind w:left="360"/>
      </w:pPr>
      <w:r>
        <w:rPr>
          <w:rFonts w:ascii="Calibri" w:hAnsi="Calibri"/>
          <w:sz w:val="24"/>
        </w:rPr>
        <w:t xml:space="preserve">• </w:t>
      </w:r>
      <w:r>
        <w:rPr>
          <w:rFonts w:ascii="Calibri" w:hAnsi="Calibri"/>
          <w:sz w:val="24"/>
        </w:rPr>
        <w:t>Root cause analysis and fix validation before retry</w:t>
      </w:r>
    </w:p>
    <w:p>
      <w:pPr>
        <w:spacing w:after="80"/>
        <w:ind w:left="360"/>
      </w:pPr>
      <w:r>
        <w:rPr>
          <w:rFonts w:ascii="Calibri" w:hAnsi="Calibri"/>
          <w:sz w:val="24"/>
        </w:rPr>
        <w:t xml:space="preserve">• </w:t>
      </w:r>
      <w:r>
        <w:rPr>
          <w:rFonts w:ascii="Calibri" w:hAnsi="Calibri"/>
          <w:sz w:val="24"/>
        </w:rPr>
        <w:t>Communication plan for stakeholders</w:t>
      </w:r>
    </w:p>
    <w:p>
      <w:pPr>
        <w:spacing w:after="80"/>
        <w:ind w:left="360"/>
      </w:pPr>
      <w:r>
        <w:rPr>
          <w:rFonts w:ascii="Calibri" w:hAnsi="Calibri"/>
          <w:sz w:val="24"/>
        </w:rPr>
        <w:t xml:space="preserve">• </w:t>
      </w:r>
      <w:r>
        <w:rPr>
          <w:rFonts w:ascii="Calibri" w:hAnsi="Calibri"/>
          <w:sz w:val="24"/>
        </w:rPr>
        <w:t>Preserve all logs and checkpoints for analysis</w:t>
      </w:r>
    </w:p>
    <w:p>
      <w:pPr>
        <w:pStyle w:val="Heading1"/>
        <w:spacing w:before="160" w:after="120"/>
        <w:ind w:left="0"/>
      </w:pPr>
      <w:r>
        <w:t>9 Handover &amp; Support</w:t>
      </w:r>
    </w:p>
    <w:p>
      <w:pPr>
        <w:pStyle w:val="Heading2"/>
        <w:spacing w:before="240" w:after="120"/>
        <w:ind w:left="0"/>
      </w:pPr>
      <w:r>
        <w:t>9.1 Handover Artifacts</w:t>
      </w:r>
    </w:p>
    <w:p>
      <w:pPr>
        <w:spacing w:after="80"/>
        <w:ind w:left="360"/>
      </w:pPr>
      <w:r>
        <w:rPr>
          <w:rFonts w:ascii="Calibri" w:hAnsi="Calibri"/>
          <w:sz w:val="24"/>
        </w:rPr>
        <w:t xml:space="preserve">• </w:t>
      </w:r>
      <w:r>
        <w:rPr>
          <w:rFonts w:ascii="Calibri" w:hAnsi="Calibri"/>
          <w:sz w:val="24"/>
        </w:rPr>
        <w:t>As-Built documentation including architecture diagrams, network topology, and system configurations</w:t>
      </w:r>
    </w:p>
    <w:p>
      <w:pPr>
        <w:spacing w:after="80"/>
        <w:ind w:left="360"/>
      </w:pPr>
      <w:r>
        <w:rPr>
          <w:rFonts w:ascii="Calibri" w:hAnsi="Calibri"/>
          <w:sz w:val="24"/>
        </w:rPr>
        <w:t xml:space="preserve">• </w:t>
      </w:r>
      <w:r>
        <w:rPr>
          <w:rFonts w:ascii="Calibri" w:hAnsi="Calibri"/>
          <w:sz w:val="24"/>
        </w:rPr>
        <w:t>DGX SuperPOD operations runbook with troubleshooting procedures</w:t>
      </w:r>
    </w:p>
    <w:p>
      <w:pPr>
        <w:spacing w:after="80"/>
        <w:ind w:left="360"/>
      </w:pPr>
      <w:r>
        <w:rPr>
          <w:rFonts w:ascii="Calibri" w:hAnsi="Calibri"/>
          <w:sz w:val="24"/>
        </w:rPr>
        <w:t xml:space="preserve">• </w:t>
      </w:r>
      <w:r>
        <w:rPr>
          <w:rFonts w:ascii="Calibri" w:hAnsi="Calibri"/>
          <w:sz w:val="24"/>
        </w:rPr>
        <w:t>InfiniBand fabric configuration and performance tuning guide</w:t>
      </w:r>
    </w:p>
    <w:p>
      <w:pPr>
        <w:spacing w:after="80"/>
        <w:ind w:left="360"/>
      </w:pPr>
      <w:r>
        <w:rPr>
          <w:rFonts w:ascii="Calibri" w:hAnsi="Calibri"/>
          <w:sz w:val="24"/>
        </w:rPr>
        <w:t xml:space="preserve">• </w:t>
      </w:r>
      <w:r>
        <w:rPr>
          <w:rFonts w:ascii="Calibri" w:hAnsi="Calibri"/>
          <w:sz w:val="24"/>
        </w:rPr>
        <w:t>Storage administration and data management procedures</w:t>
      </w:r>
    </w:p>
    <w:p>
      <w:pPr>
        <w:spacing w:after="80"/>
        <w:ind w:left="360"/>
      </w:pPr>
      <w:r>
        <w:rPr>
          <w:rFonts w:ascii="Calibri" w:hAnsi="Calibri"/>
          <w:sz w:val="24"/>
        </w:rPr>
        <w:t xml:space="preserve">• </w:t>
      </w:r>
      <w:r>
        <w:rPr>
          <w:rFonts w:ascii="Calibri" w:hAnsi="Calibri"/>
          <w:sz w:val="24"/>
        </w:rPr>
        <w:t>Job scheduler configuration and resource allocation policies</w:t>
      </w:r>
    </w:p>
    <w:p>
      <w:pPr>
        <w:spacing w:after="80"/>
        <w:ind w:left="360"/>
      </w:pPr>
      <w:r>
        <w:rPr>
          <w:rFonts w:ascii="Calibri" w:hAnsi="Calibri"/>
          <w:sz w:val="24"/>
        </w:rPr>
        <w:t xml:space="preserve">• </w:t>
      </w:r>
      <w:r>
        <w:rPr>
          <w:rFonts w:ascii="Calibri" w:hAnsi="Calibri"/>
          <w:sz w:val="24"/>
        </w:rPr>
        <w:t>Monitoring and alert configuration reference</w:t>
      </w:r>
    </w:p>
    <w:p>
      <w:pPr>
        <w:spacing w:after="80"/>
        <w:ind w:left="360"/>
      </w:pPr>
      <w:r>
        <w:rPr>
          <w:rFonts w:ascii="Calibri" w:hAnsi="Calibri"/>
          <w:sz w:val="24"/>
        </w:rPr>
        <w:t xml:space="preserve">• </w:t>
      </w:r>
      <w:r>
        <w:rPr>
          <w:rFonts w:ascii="Calibri" w:hAnsi="Calibri"/>
          <w:sz w:val="24"/>
        </w:rPr>
        <w:t>Performance optimization recommendations</w:t>
      </w:r>
    </w:p>
    <w:p>
      <w:pPr>
        <w:pStyle w:val="Heading2"/>
        <w:spacing w:before="240" w:after="120"/>
        <w:ind w:left="0"/>
      </w:pPr>
      <w:r>
        <w:t>9.2 Knowledge Transfer</w:t>
      </w:r>
    </w:p>
    <w:p>
      <w:pPr>
        <w:spacing w:after="80"/>
        <w:ind w:left="360"/>
      </w:pPr>
      <w:r>
        <w:rPr>
          <w:rFonts w:ascii="Calibri" w:hAnsi="Calibri"/>
          <w:sz w:val="24"/>
        </w:rPr>
        <w:t xml:space="preserve">• </w:t>
      </w:r>
      <w:r>
        <w:rPr>
          <w:rFonts w:ascii="Calibri" w:hAnsi="Calibri"/>
          <w:sz w:val="24"/>
        </w:rPr>
        <w:t>Live knowledge transfer sessions for administrators and data scientists</w:t>
      </w:r>
    </w:p>
    <w:p>
      <w:pPr>
        <w:spacing w:after="80"/>
        <w:ind w:left="360"/>
      </w:pPr>
      <w:r>
        <w:rPr>
          <w:rFonts w:ascii="Calibri" w:hAnsi="Calibri"/>
          <w:sz w:val="24"/>
        </w:rPr>
        <w:t xml:space="preserve">• </w:t>
      </w:r>
      <w:r>
        <w:rPr>
          <w:rFonts w:ascii="Calibri" w:hAnsi="Calibri"/>
          <w:sz w:val="24"/>
        </w:rPr>
        <w:t>DGX system administration training (hardware, OS, updates)</w:t>
      </w:r>
    </w:p>
    <w:p>
      <w:pPr>
        <w:spacing w:after="80"/>
        <w:ind w:left="360"/>
      </w:pPr>
      <w:r>
        <w:rPr>
          <w:rFonts w:ascii="Calibri" w:hAnsi="Calibri"/>
          <w:sz w:val="24"/>
        </w:rPr>
        <w:t xml:space="preserve">• </w:t>
      </w:r>
      <w:r>
        <w:rPr>
          <w:rFonts w:ascii="Calibri" w:hAnsi="Calibri"/>
          <w:sz w:val="24"/>
        </w:rPr>
        <w:t>InfiniBand fabric management and troubleshooting</w:t>
      </w:r>
    </w:p>
    <w:p>
      <w:pPr>
        <w:spacing w:after="80"/>
        <w:ind w:left="360"/>
      </w:pPr>
      <w:r>
        <w:rPr>
          <w:rFonts w:ascii="Calibri" w:hAnsi="Calibri"/>
          <w:sz w:val="24"/>
        </w:rPr>
        <w:t xml:space="preserve">• </w:t>
      </w:r>
      <w:r>
        <w:rPr>
          <w:rFonts w:ascii="Calibri" w:hAnsi="Calibri"/>
          <w:sz w:val="24"/>
        </w:rPr>
        <w:t>Slurm workload manager training (job submission, resource management)</w:t>
      </w:r>
    </w:p>
    <w:p>
      <w:pPr>
        <w:spacing w:after="80"/>
        <w:ind w:left="360"/>
      </w:pPr>
      <w:r>
        <w:rPr>
          <w:rFonts w:ascii="Calibri" w:hAnsi="Calibri"/>
          <w:sz w:val="24"/>
        </w:rPr>
        <w:t xml:space="preserve">• </w:t>
      </w:r>
      <w:r>
        <w:rPr>
          <w:rFonts w:ascii="Calibri" w:hAnsi="Calibri"/>
          <w:sz w:val="24"/>
        </w:rPr>
        <w:t>NGC container usage and custom container development</w:t>
      </w:r>
    </w:p>
    <w:p>
      <w:pPr>
        <w:spacing w:after="80"/>
        <w:ind w:left="360"/>
      </w:pPr>
      <w:r>
        <w:rPr>
          <w:rFonts w:ascii="Calibri" w:hAnsi="Calibri"/>
          <w:sz w:val="24"/>
        </w:rPr>
        <w:t xml:space="preserve">• </w:t>
      </w:r>
      <w:r>
        <w:rPr>
          <w:rFonts w:ascii="Calibri" w:hAnsi="Calibri"/>
          <w:sz w:val="24"/>
        </w:rPr>
        <w:t>Distributed training best practices (NCCL, multi-node)</w:t>
      </w:r>
    </w:p>
    <w:p>
      <w:pPr>
        <w:spacing w:after="80"/>
        <w:ind w:left="360"/>
      </w:pPr>
      <w:r>
        <w:rPr>
          <w:rFonts w:ascii="Calibri" w:hAnsi="Calibri"/>
          <w:sz w:val="24"/>
        </w:rPr>
        <w:t xml:space="preserve">• </w:t>
      </w:r>
      <w:r>
        <w:rPr>
          <w:rFonts w:ascii="Calibri" w:hAnsi="Calibri"/>
          <w:sz w:val="24"/>
        </w:rPr>
        <w:t>Recorded training materials hosted in shared portal</w:t>
      </w:r>
    </w:p>
    <w:p>
      <w:pPr>
        <w:spacing w:after="80"/>
        <w:ind w:left="360"/>
      </w:pPr>
      <w:r>
        <w:rPr>
          <w:rFonts w:ascii="Calibri" w:hAnsi="Calibri"/>
          <w:sz w:val="24"/>
        </w:rPr>
        <w:t xml:space="preserve">• </w:t>
      </w:r>
      <w:r>
        <w:rPr>
          <w:rFonts w:ascii="Calibri" w:hAnsi="Calibri"/>
          <w:sz w:val="24"/>
        </w:rPr>
        <w:t>Documentation portal with searchable content</w:t>
      </w:r>
    </w:p>
    <w:p>
      <w:pPr>
        <w:pStyle w:val="Heading2"/>
        <w:spacing w:before="240" w:after="120"/>
        <w:ind w:left="0"/>
      </w:pPr>
      <w:r>
        <w:t>9.3 Hypercare Support</w:t>
      </w:r>
    </w:p>
    <w:p>
      <w:r>
        <w:rPr>
          <w:rFonts w:ascii="Calibri" w:hAnsi="Calibri"/>
          <w:sz w:val="24"/>
        </w:rPr>
        <w:t>Post-implementation support to ensure smooth transition to Client operations:</w:t>
      </w:r>
    </w:p>
    <w:p>
      <w:r>
        <w:rPr>
          <w:rFonts w:ascii="Calibri" w:hAnsi="Calibri"/>
          <w:b/>
          <w:sz w:val="24"/>
        </w:rPr>
        <w:t>Duration:</w:t>
      </w:r>
      <w:r>
        <w:rPr>
          <w:rFonts w:ascii="Calibri" w:hAnsi="Calibri"/>
          <w:sz w:val="24"/>
        </w:rPr>
        <w:t xml:space="preserve"> 4 weeks post-go-live (30 days)</w:t>
      </w:r>
    </w:p>
    <w:p>
      <w:r>
        <w:rPr>
          <w:rFonts w:ascii="Calibri" w:hAnsi="Calibri"/>
          <w:b/>
          <w:sz w:val="24"/>
        </w:rPr>
        <w:t>Coverage:</w:t>
      </w:r>
    </w:p>
    <w:p>
      <w:pPr>
        <w:spacing w:after="80"/>
        <w:ind w:left="360"/>
      </w:pPr>
      <w:r>
        <w:rPr>
          <w:rFonts w:ascii="Calibri" w:hAnsi="Calibri"/>
          <w:sz w:val="24"/>
        </w:rPr>
        <w:t xml:space="preserve">• </w:t>
      </w:r>
      <w:r>
        <w:rPr>
          <w:rFonts w:ascii="Calibri" w:hAnsi="Calibri"/>
          <w:sz w:val="24"/>
        </w:rPr>
        <w:t>Business hours support (8 AM - 6 PM local time)</w:t>
      </w:r>
    </w:p>
    <w:p>
      <w:pPr>
        <w:spacing w:after="80"/>
        <w:ind w:left="360"/>
      </w:pPr>
      <w:r>
        <w:rPr>
          <w:rFonts w:ascii="Calibri" w:hAnsi="Calibri"/>
          <w:sz w:val="24"/>
        </w:rPr>
        <w:t xml:space="preserve">• </w:t>
      </w:r>
      <w:r>
        <w:rPr>
          <w:rFonts w:ascii="Calibri" w:hAnsi="Calibri"/>
          <w:sz w:val="24"/>
        </w:rPr>
        <w:t>4-hour response time for critical issues</w:t>
      </w:r>
    </w:p>
    <w:p>
      <w:pPr>
        <w:spacing w:after="80"/>
        <w:ind w:left="360"/>
      </w:pPr>
      <w:r>
        <w:rPr>
          <w:rFonts w:ascii="Calibri" w:hAnsi="Calibri"/>
          <w:sz w:val="24"/>
        </w:rPr>
        <w:t xml:space="preserve">• </w:t>
      </w:r>
      <w:r>
        <w:rPr>
          <w:rFonts w:ascii="Calibri" w:hAnsi="Calibri"/>
          <w:sz w:val="24"/>
        </w:rPr>
        <w:t>Daily health check calls (first 2 weeks)</w:t>
      </w:r>
    </w:p>
    <w:p>
      <w:pPr>
        <w:spacing w:after="80"/>
        <w:ind w:left="360"/>
      </w:pPr>
      <w:r>
        <w:rPr>
          <w:rFonts w:ascii="Calibri" w:hAnsi="Calibri"/>
          <w:sz w:val="24"/>
        </w:rPr>
        <w:t xml:space="preserve">• </w:t>
      </w:r>
      <w:r>
        <w:rPr>
          <w:rFonts w:ascii="Calibri" w:hAnsi="Calibri"/>
          <w:sz w:val="24"/>
        </w:rPr>
        <w:t>Weekly status meetings</w:t>
      </w:r>
    </w:p>
    <w:p>
      <w:r>
        <w:rPr>
          <w:rFonts w:ascii="Calibri" w:hAnsi="Calibri"/>
          <w:b/>
          <w:sz w:val="24"/>
        </w:rPr>
        <w:t>Scope:</w:t>
      </w:r>
    </w:p>
    <w:p>
      <w:pPr>
        <w:spacing w:after="80"/>
        <w:ind w:left="360"/>
      </w:pPr>
      <w:r>
        <w:rPr>
          <w:rFonts w:ascii="Calibri" w:hAnsi="Calibri"/>
          <w:sz w:val="24"/>
        </w:rPr>
        <w:t xml:space="preserve">• </w:t>
      </w:r>
      <w:r>
        <w:rPr>
          <w:rFonts w:ascii="Calibri" w:hAnsi="Calibri"/>
          <w:sz w:val="24"/>
        </w:rPr>
        <w:t>Issue investigation and resolution</w:t>
      </w:r>
    </w:p>
    <w:p>
      <w:pPr>
        <w:spacing w:after="80"/>
        <w:ind w:left="360"/>
      </w:pPr>
      <w:r>
        <w:rPr>
          <w:rFonts w:ascii="Calibri" w:hAnsi="Calibri"/>
          <w:sz w:val="24"/>
        </w:rPr>
        <w:t xml:space="preserve">• </w:t>
      </w:r>
      <w:r>
        <w:rPr>
          <w:rFonts w:ascii="Calibri" w:hAnsi="Calibri"/>
          <w:sz w:val="24"/>
        </w:rPr>
        <w:t>Performance tuning and workload optimization</w:t>
      </w:r>
    </w:p>
    <w:p>
      <w:pPr>
        <w:spacing w:after="80"/>
        <w:ind w:left="360"/>
      </w:pPr>
      <w:r>
        <w:rPr>
          <w:rFonts w:ascii="Calibri" w:hAnsi="Calibri"/>
          <w:sz w:val="24"/>
        </w:rPr>
        <w:t xml:space="preserve">• </w:t>
      </w:r>
      <w:r>
        <w:rPr>
          <w:rFonts w:ascii="Calibri" w:hAnsi="Calibri"/>
          <w:sz w:val="24"/>
        </w:rPr>
        <w:t>Configuration adjustments</w:t>
      </w:r>
    </w:p>
    <w:p>
      <w:pPr>
        <w:spacing w:after="80"/>
        <w:ind w:left="360"/>
      </w:pPr>
      <w:r>
        <w:rPr>
          <w:rFonts w:ascii="Calibri" w:hAnsi="Calibri"/>
          <w:sz w:val="24"/>
        </w:rPr>
        <w:t xml:space="preserve">• </w:t>
      </w:r>
      <w:r>
        <w:rPr>
          <w:rFonts w:ascii="Calibri" w:hAnsi="Calibri"/>
          <w:sz w:val="24"/>
        </w:rPr>
        <w:t>Knowledge transfer continuation</w:t>
      </w:r>
    </w:p>
    <w:p>
      <w:pPr>
        <w:spacing w:after="80"/>
        <w:ind w:left="360"/>
      </w:pPr>
      <w:r>
        <w:rPr>
          <w:rFonts w:ascii="Calibri" w:hAnsi="Calibri"/>
          <w:sz w:val="24"/>
        </w:rPr>
        <w:t xml:space="preserve">• </w:t>
      </w:r>
      <w:r>
        <w:rPr>
          <w:rFonts w:ascii="Calibri" w:hAnsi="Calibri"/>
          <w:sz w:val="24"/>
        </w:rPr>
        <w:t>InfiniBand fabric troubleshooting</w:t>
      </w:r>
    </w:p>
    <w:p>
      <w:pPr>
        <w:spacing w:after="80"/>
        <w:ind w:left="360"/>
      </w:pPr>
      <w:r>
        <w:rPr>
          <w:rFonts w:ascii="Calibri" w:hAnsi="Calibri"/>
          <w:sz w:val="24"/>
        </w:rPr>
        <w:t xml:space="preserve">• </w:t>
      </w:r>
      <w:r>
        <w:rPr>
          <w:rFonts w:ascii="Calibri" w:hAnsi="Calibri"/>
          <w:sz w:val="24"/>
        </w:rPr>
        <w:t>GPU utilization optimization</w:t>
      </w:r>
    </w:p>
    <w:p>
      <w:pPr>
        <w:pStyle w:val="Heading2"/>
        <w:spacing w:before="240" w:after="120"/>
        <w:ind w:left="0"/>
      </w:pPr>
      <w:r>
        <w:t>9.4 Managed Services Transition (Optional)</w:t>
      </w:r>
    </w:p>
    <w:p>
      <w:r>
        <w:rPr>
          <w:rFonts w:ascii="Calibri" w:hAnsi="Calibri"/>
          <w:sz w:val="24"/>
        </w:rPr>
        <w:t>Post-hypercare, Client may transition to ongoing managed services:</w:t>
      </w:r>
    </w:p>
    <w:p>
      <w:r>
        <w:rPr>
          <w:rFonts w:ascii="Calibri" w:hAnsi="Calibri"/>
          <w:b/>
          <w:sz w:val="24"/>
        </w:rPr>
        <w:t>Managed Services Options:</w:t>
      </w:r>
    </w:p>
    <w:p>
      <w:pPr>
        <w:spacing w:after="80"/>
        <w:ind w:left="360"/>
      </w:pPr>
      <w:r>
        <w:rPr>
          <w:rFonts w:ascii="Calibri" w:hAnsi="Calibri"/>
          <w:sz w:val="24"/>
        </w:rPr>
        <w:t xml:space="preserve">• </w:t>
      </w:r>
      <w:r>
        <w:rPr>
          <w:rFonts w:ascii="Calibri" w:hAnsi="Calibri"/>
          <w:sz w:val="24"/>
        </w:rPr>
        <w:t>24/7 monitoring and support for DGX SuperPOD infrastructure</w:t>
      </w:r>
    </w:p>
    <w:p>
      <w:pPr>
        <w:spacing w:after="80"/>
        <w:ind w:left="360"/>
      </w:pPr>
      <w:r>
        <w:rPr>
          <w:rFonts w:ascii="Calibri" w:hAnsi="Calibri"/>
          <w:sz w:val="24"/>
        </w:rPr>
        <w:t xml:space="preserve">• </w:t>
      </w:r>
      <w:r>
        <w:rPr>
          <w:rFonts w:ascii="Calibri" w:hAnsi="Calibri"/>
          <w:sz w:val="24"/>
        </w:rPr>
        <w:t>Proactive performance optimization and capacity planning</w:t>
      </w:r>
    </w:p>
    <w:p>
      <w:pPr>
        <w:spacing w:after="80"/>
        <w:ind w:left="360"/>
      </w:pPr>
      <w:r>
        <w:rPr>
          <w:rFonts w:ascii="Calibri" w:hAnsi="Calibri"/>
          <w:sz w:val="24"/>
        </w:rPr>
        <w:t xml:space="preserve">• </w:t>
      </w:r>
      <w:r>
        <w:rPr>
          <w:rFonts w:ascii="Calibri" w:hAnsi="Calibri"/>
          <w:sz w:val="24"/>
        </w:rPr>
        <w:t>GPU utilization monitoring and job scheduling optimization</w:t>
      </w:r>
    </w:p>
    <w:p>
      <w:pPr>
        <w:spacing w:after="80"/>
        <w:ind w:left="360"/>
      </w:pPr>
      <w:r>
        <w:rPr>
          <w:rFonts w:ascii="Calibri" w:hAnsi="Calibri"/>
          <w:sz w:val="24"/>
        </w:rPr>
        <w:t xml:space="preserve">• </w:t>
      </w:r>
      <w:r>
        <w:rPr>
          <w:rFonts w:ascii="Calibri" w:hAnsi="Calibri"/>
          <w:sz w:val="24"/>
        </w:rPr>
        <w:t>Infrastructure maintenance (firmware updates, driver updates)</w:t>
      </w:r>
    </w:p>
    <w:p>
      <w:pPr>
        <w:spacing w:after="80"/>
        <w:ind w:left="360"/>
      </w:pPr>
      <w:r>
        <w:rPr>
          <w:rFonts w:ascii="Calibri" w:hAnsi="Calibri"/>
          <w:sz w:val="24"/>
        </w:rPr>
        <w:t xml:space="preserve">• </w:t>
      </w:r>
      <w:r>
        <w:rPr>
          <w:rFonts w:ascii="Calibri" w:hAnsi="Calibri"/>
          <w:sz w:val="24"/>
        </w:rPr>
        <w:t>Monthly performance and cost optimization reviews</w:t>
      </w:r>
    </w:p>
    <w:p>
      <w:pPr>
        <w:spacing w:after="80"/>
        <w:ind w:left="360"/>
      </w:pPr>
      <w:r>
        <w:rPr>
          <w:rFonts w:ascii="Calibri" w:hAnsi="Calibri"/>
          <w:sz w:val="24"/>
        </w:rPr>
        <w:t xml:space="preserve">• </w:t>
      </w:r>
      <w:r>
        <w:rPr>
          <w:rFonts w:ascii="Calibri" w:hAnsi="Calibri"/>
          <w:sz w:val="24"/>
        </w:rPr>
        <w:t>Hardware failure remediation and vendor coordination</w:t>
      </w:r>
    </w:p>
    <w:p>
      <w:r>
        <w:rPr>
          <w:rFonts w:ascii="Calibri" w:hAnsi="Calibri"/>
          <w:b/>
          <w:sz w:val="24"/>
        </w:rPr>
        <w:t>Transition Approach:</w:t>
      </w:r>
    </w:p>
    <w:p>
      <w:pPr>
        <w:spacing w:after="80"/>
        <w:ind w:left="360"/>
      </w:pPr>
      <w:r>
        <w:rPr>
          <w:rFonts w:ascii="Calibri" w:hAnsi="Calibri"/>
          <w:sz w:val="24"/>
        </w:rPr>
        <w:t xml:space="preserve">• </w:t>
      </w:r>
      <w:r>
        <w:rPr>
          <w:rFonts w:ascii="Calibri" w:hAnsi="Calibri"/>
          <w:sz w:val="24"/>
        </w:rPr>
        <w:t>Evaluation of managed services requirements during hypercare</w:t>
      </w:r>
    </w:p>
    <w:p>
      <w:pPr>
        <w:spacing w:after="80"/>
        <w:ind w:left="360"/>
      </w:pPr>
      <w:r>
        <w:rPr>
          <w:rFonts w:ascii="Calibri" w:hAnsi="Calibri"/>
          <w:sz w:val="24"/>
        </w:rPr>
        <w:t xml:space="preserve">• </w:t>
      </w:r>
      <w:r>
        <w:rPr>
          <w:rFonts w:ascii="Calibri" w:hAnsi="Calibri"/>
          <w:sz w:val="24"/>
        </w:rPr>
        <w:t>Service Level Agreement (SLA) definition for GPU availability</w:t>
      </w:r>
    </w:p>
    <w:p>
      <w:pPr>
        <w:spacing w:after="80"/>
        <w:ind w:left="360"/>
      </w:pPr>
      <w:r>
        <w:rPr>
          <w:rFonts w:ascii="Calibri" w:hAnsi="Calibri"/>
          <w:sz w:val="24"/>
        </w:rPr>
        <w:t xml:space="preserve">• </w:t>
      </w:r>
      <w:r>
        <w:rPr>
          <w:rFonts w:ascii="Calibri" w:hAnsi="Calibri"/>
          <w:sz w:val="24"/>
        </w:rPr>
        <w:t>Separate managed services contract and pricing</w:t>
      </w:r>
    </w:p>
    <w:p>
      <w:pPr>
        <w:spacing w:after="80"/>
        <w:ind w:left="360"/>
      </w:pPr>
      <w:r>
        <w:rPr>
          <w:rFonts w:ascii="Calibri" w:hAnsi="Calibri"/>
          <w:sz w:val="24"/>
        </w:rPr>
        <w:t xml:space="preserve">• </w:t>
      </w:r>
      <w:r>
        <w:rPr>
          <w:rFonts w:ascii="Calibri" w:hAnsi="Calibri"/>
          <w:sz w:val="24"/>
        </w:rPr>
        <w:t>Seamless transition from hypercare to managed services</w:t>
      </w:r>
    </w:p>
    <w:p>
      <w:pPr>
        <w:pStyle w:val="Heading2"/>
        <w:spacing w:before="240" w:after="120"/>
        <w:ind w:left="0"/>
      </w:pPr>
      <w:r>
        <w:t>9.5 Assumptions</w:t>
      </w:r>
    </w:p>
    <w:p>
      <w:pPr>
        <w:pStyle w:val="Heading3"/>
        <w:spacing w:before="160" w:after="120"/>
        <w:ind w:left="0"/>
      </w:pPr>
      <w:r>
        <w:t>9.5.1 General Assumptions</w:t>
      </w:r>
    </w:p>
    <w:p>
      <w:pPr>
        <w:spacing w:after="80"/>
        <w:ind w:left="360"/>
      </w:pPr>
      <w:r>
        <w:rPr>
          <w:rFonts w:ascii="Calibri" w:hAnsi="Calibri"/>
          <w:sz w:val="24"/>
        </w:rPr>
        <w:t xml:space="preserve">• </w:t>
      </w:r>
      <w:r>
        <w:rPr>
          <w:rFonts w:ascii="Calibri" w:hAnsi="Calibri"/>
          <w:sz w:val="24"/>
        </w:rPr>
        <w:t>Datacenter facility has adequate power capacity (500 kW) and cooling (50-ton capacity)</w:t>
      </w:r>
    </w:p>
    <w:p>
      <w:pPr>
        <w:spacing w:after="80"/>
        <w:ind w:left="360"/>
      </w:pPr>
      <w:r>
        <w:rPr>
          <w:rFonts w:ascii="Calibri" w:hAnsi="Calibri"/>
          <w:sz w:val="24"/>
        </w:rPr>
        <w:t xml:space="preserve">• </w:t>
      </w:r>
      <w:r>
        <w:rPr>
          <w:rFonts w:ascii="Calibri" w:hAnsi="Calibri"/>
          <w:sz w:val="24"/>
        </w:rPr>
        <w:t>Physical space for 8 DGX systems in standard server racks is available</w:t>
      </w:r>
    </w:p>
    <w:p>
      <w:pPr>
        <w:spacing w:after="80"/>
        <w:ind w:left="360"/>
      </w:pPr>
      <w:r>
        <w:rPr>
          <w:rFonts w:ascii="Calibri" w:hAnsi="Calibri"/>
          <w:sz w:val="24"/>
        </w:rPr>
        <w:t xml:space="preserve">• </w:t>
      </w:r>
      <w:r>
        <w:rPr>
          <w:rFonts w:ascii="Calibri" w:hAnsi="Calibri"/>
          <w:sz w:val="24"/>
        </w:rPr>
        <w:t>Client will provide adequate security for physical access to datacenter</w:t>
      </w:r>
    </w:p>
    <w:p>
      <w:pPr>
        <w:spacing w:after="80"/>
        <w:ind w:left="360"/>
      </w:pPr>
      <w:r>
        <w:rPr>
          <w:rFonts w:ascii="Calibri" w:hAnsi="Calibri"/>
          <w:sz w:val="24"/>
        </w:rPr>
        <w:t xml:space="preserve">• </w:t>
      </w:r>
      <w:r>
        <w:rPr>
          <w:rFonts w:ascii="Calibri" w:hAnsi="Calibri"/>
          <w:sz w:val="24"/>
        </w:rPr>
        <w:t>Network infrastructure supports 100 GbE and InfiniBand connectivity</w:t>
      </w:r>
    </w:p>
    <w:p>
      <w:pPr>
        <w:spacing w:after="80"/>
        <w:ind w:left="360"/>
      </w:pPr>
      <w:r>
        <w:rPr>
          <w:rFonts w:ascii="Calibri" w:hAnsi="Calibri"/>
          <w:sz w:val="24"/>
        </w:rPr>
        <w:t xml:space="preserve">• </w:t>
      </w:r>
      <w:r>
        <w:rPr>
          <w:rFonts w:ascii="Calibri" w:hAnsi="Calibri"/>
          <w:sz w:val="24"/>
        </w:rPr>
        <w:t>Client technical team will be available for requirements validation, testing, and approvals</w:t>
      </w:r>
    </w:p>
    <w:p>
      <w:pPr>
        <w:spacing w:after="80"/>
        <w:ind w:left="360"/>
      </w:pPr>
      <w:r>
        <w:rPr>
          <w:rFonts w:ascii="Calibri" w:hAnsi="Calibri"/>
          <w:sz w:val="24"/>
        </w:rPr>
        <w:t xml:space="preserve">• </w:t>
      </w:r>
      <w:r>
        <w:rPr>
          <w:rFonts w:ascii="Calibri" w:hAnsi="Calibri"/>
          <w:sz w:val="24"/>
        </w:rPr>
        <w:t>InfiniBand cabling will be pre-installed during site preparation phase</w:t>
      </w:r>
    </w:p>
    <w:p>
      <w:pPr>
        <w:spacing w:after="80"/>
        <w:ind w:left="360"/>
      </w:pPr>
      <w:r>
        <w:rPr>
          <w:rFonts w:ascii="Calibri" w:hAnsi="Calibri"/>
          <w:sz w:val="24"/>
        </w:rPr>
        <w:t xml:space="preserve">• </w:t>
      </w:r>
      <w:r>
        <w:rPr>
          <w:rFonts w:ascii="Calibri" w:hAnsi="Calibri"/>
          <w:sz w:val="24"/>
        </w:rPr>
        <w:t>Training datasets are already digitized and accessible (500 TB initial)</w:t>
      </w:r>
    </w:p>
    <w:p>
      <w:pPr>
        <w:spacing w:after="80"/>
        <w:ind w:left="360"/>
      </w:pPr>
      <w:r>
        <w:rPr>
          <w:rFonts w:ascii="Calibri" w:hAnsi="Calibri"/>
          <w:sz w:val="24"/>
        </w:rPr>
        <w:t xml:space="preserve">• </w:t>
      </w:r>
      <w:r>
        <w:rPr>
          <w:rFonts w:ascii="Calibri" w:hAnsi="Calibri"/>
          <w:sz w:val="24"/>
        </w:rPr>
        <w:t>AI workload requirements will remain stable during implementation</w:t>
      </w:r>
    </w:p>
    <w:p>
      <w:pPr>
        <w:spacing w:after="80"/>
        <w:ind w:left="360"/>
      </w:pPr>
      <w:r>
        <w:rPr>
          <w:rFonts w:ascii="Calibri" w:hAnsi="Calibri"/>
          <w:sz w:val="24"/>
        </w:rPr>
        <w:t xml:space="preserve">• </w:t>
      </w:r>
      <w:r>
        <w:rPr>
          <w:rFonts w:ascii="Calibri" w:hAnsi="Calibri"/>
          <w:sz w:val="24"/>
        </w:rPr>
        <w:t>Client will handle NVIDIA licensing costs directly (AI Enterprise subscriptions)</w:t>
      </w:r>
    </w:p>
    <w:p>
      <w:pPr>
        <w:spacing w:after="80"/>
        <w:ind w:left="360"/>
      </w:pPr>
      <w:r>
        <w:rPr>
          <w:rFonts w:ascii="Calibri" w:hAnsi="Calibri"/>
          <w:sz w:val="24"/>
        </w:rPr>
        <w:t xml:space="preserve">• </w:t>
      </w:r>
      <w:r>
        <w:rPr>
          <w:rFonts w:ascii="Calibri" w:hAnsi="Calibri"/>
          <w:sz w:val="24"/>
        </w:rPr>
        <w:t>Sufficient lead time for hardware procurement (12-16 weeks for DGX systems)</w:t>
      </w:r>
    </w:p>
    <w:p>
      <w:pPr>
        <w:pStyle w:val="Heading2"/>
        <w:spacing w:before="240" w:after="120"/>
        <w:ind w:left="0"/>
      </w:pPr>
      <w:r>
        <w:t>9.6 Dependencies</w:t>
      </w:r>
    </w:p>
    <w:p>
      <w:pPr>
        <w:pStyle w:val="Heading3"/>
        <w:spacing w:before="160" w:after="120"/>
        <w:ind w:left="0"/>
      </w:pPr>
      <w:r>
        <w:t>9.6.1 Project Dependencies</w:t>
      </w:r>
    </w:p>
    <w:p>
      <w:pPr>
        <w:spacing w:after="80"/>
        <w:ind w:left="360"/>
      </w:pPr>
      <w:r>
        <w:rPr>
          <w:rFonts w:ascii="Calibri" w:hAnsi="Calibri"/>
          <w:sz w:val="24"/>
        </w:rPr>
        <w:t xml:space="preserve">• </w:t>
      </w:r>
      <w:r>
        <w:rPr>
          <w:rFonts w:ascii="Calibri" w:hAnsi="Calibri"/>
          <w:sz w:val="24"/>
        </w:rPr>
        <w:t>Datacenter Readiness: Power, cooling, and physical space prepared before hardware delivery</w:t>
      </w:r>
    </w:p>
    <w:p>
      <w:pPr>
        <w:spacing w:after="80"/>
        <w:ind w:left="360"/>
      </w:pPr>
      <w:r>
        <w:rPr>
          <w:rFonts w:ascii="Calibri" w:hAnsi="Calibri"/>
          <w:sz w:val="24"/>
        </w:rPr>
        <w:t xml:space="preserve">• </w:t>
      </w:r>
      <w:r>
        <w:rPr>
          <w:rFonts w:ascii="Calibri" w:hAnsi="Calibri"/>
          <w:sz w:val="24"/>
        </w:rPr>
        <w:t>Hardware Procurement: DGX H100 systems, InfiniBand switches ordered with 12-16 week lead time</w:t>
      </w:r>
    </w:p>
    <w:p>
      <w:pPr>
        <w:spacing w:after="80"/>
        <w:ind w:left="360"/>
      </w:pPr>
      <w:r>
        <w:rPr>
          <w:rFonts w:ascii="Calibri" w:hAnsi="Calibri"/>
          <w:sz w:val="24"/>
        </w:rPr>
        <w:t xml:space="preserve">• </w:t>
      </w:r>
      <w:r>
        <w:rPr>
          <w:rFonts w:ascii="Calibri" w:hAnsi="Calibri"/>
          <w:sz w:val="24"/>
        </w:rPr>
        <w:t>Network Infrastructure: InfiniBand cabling and management network in place</w:t>
      </w:r>
    </w:p>
    <w:p>
      <w:pPr>
        <w:spacing w:after="80"/>
        <w:ind w:left="360"/>
      </w:pPr>
      <w:r>
        <w:rPr>
          <w:rFonts w:ascii="Calibri" w:hAnsi="Calibri"/>
          <w:sz w:val="24"/>
        </w:rPr>
        <w:t xml:space="preserve">• </w:t>
      </w:r>
      <w:r>
        <w:rPr>
          <w:rFonts w:ascii="Calibri" w:hAnsi="Calibri"/>
          <w:sz w:val="24"/>
        </w:rPr>
        <w:t>Client IT Access: Administrative access to datacenter, network, and identity management systems</w:t>
      </w:r>
    </w:p>
    <w:p>
      <w:pPr>
        <w:spacing w:after="80"/>
        <w:ind w:left="360"/>
      </w:pPr>
      <w:r>
        <w:rPr>
          <w:rFonts w:ascii="Calibri" w:hAnsi="Calibri"/>
          <w:sz w:val="24"/>
        </w:rPr>
        <w:t xml:space="preserve">• </w:t>
      </w:r>
      <w:r>
        <w:rPr>
          <w:rFonts w:ascii="Calibri" w:hAnsi="Calibri"/>
          <w:sz w:val="24"/>
        </w:rPr>
        <w:t>Training Data: Representative datasets available for performance validation</w:t>
      </w:r>
    </w:p>
    <w:p>
      <w:pPr>
        <w:spacing w:after="80"/>
        <w:ind w:left="360"/>
      </w:pPr>
      <w:r>
        <w:rPr>
          <w:rFonts w:ascii="Calibri" w:hAnsi="Calibri"/>
          <w:sz w:val="24"/>
        </w:rPr>
        <w:t xml:space="preserve">• </w:t>
      </w:r>
      <w:r>
        <w:rPr>
          <w:rFonts w:ascii="Calibri" w:hAnsi="Calibri"/>
          <w:sz w:val="24"/>
        </w:rPr>
        <w:t>SME Availability: Data science and AI teams available for workload testing and validation</w:t>
      </w:r>
    </w:p>
    <w:p>
      <w:pPr>
        <w:spacing w:after="80"/>
        <w:ind w:left="360"/>
      </w:pPr>
      <w:r>
        <w:rPr>
          <w:rFonts w:ascii="Calibri" w:hAnsi="Calibri"/>
          <w:sz w:val="24"/>
        </w:rPr>
        <w:t xml:space="preserve">• </w:t>
      </w:r>
      <w:r>
        <w:rPr>
          <w:rFonts w:ascii="Calibri" w:hAnsi="Calibri"/>
          <w:sz w:val="24"/>
        </w:rPr>
        <w:t>Security Approvals: Security and compliance approvals obtained on schedule</w:t>
      </w:r>
    </w:p>
    <w:p>
      <w:pPr>
        <w:spacing w:after="80"/>
        <w:ind w:left="360"/>
      </w:pPr>
      <w:r>
        <w:rPr>
          <w:rFonts w:ascii="Calibri" w:hAnsi="Calibri"/>
          <w:sz w:val="24"/>
        </w:rPr>
        <w:t xml:space="preserve">• </w:t>
      </w:r>
      <w:r>
        <w:rPr>
          <w:rFonts w:ascii="Calibri" w:hAnsi="Calibri"/>
          <w:sz w:val="24"/>
        </w:rPr>
        <w:t>Vendor Coordination: NVIDIA support and technical assistance during deployment</w:t>
      </w:r>
    </w:p>
    <w:p>
      <w:pPr>
        <w:spacing w:after="80"/>
        <w:ind w:left="360"/>
      </w:pPr>
      <w:r>
        <w:rPr>
          <w:rFonts w:ascii="Calibri" w:hAnsi="Calibri"/>
          <w:sz w:val="24"/>
        </w:rPr>
        <w:t xml:space="preserve">• </w:t>
      </w:r>
      <w:r>
        <w:rPr>
          <w:rFonts w:ascii="Calibri" w:hAnsi="Calibri"/>
          <w:sz w:val="24"/>
        </w:rPr>
        <w:t>Change Freeze: No major datacenter changes during deployment and testing phases</w:t>
      </w:r>
    </w:p>
    <w:p>
      <w:pPr>
        <w:spacing w:after="80"/>
        <w:ind w:left="360"/>
      </w:pPr>
      <w:r>
        <w:rPr>
          <w:rFonts w:ascii="Calibri" w:hAnsi="Calibri"/>
          <w:sz w:val="24"/>
        </w:rPr>
        <w:t xml:space="preserve">• </w:t>
      </w:r>
      <w:r>
        <w:rPr>
          <w:rFonts w:ascii="Calibri" w:hAnsi="Calibri"/>
          <w:sz w:val="24"/>
        </w:rPr>
        <w:t>Go-Live Approval: Business and technical approval authority available for production deployment</w:t>
      </w:r>
    </w:p>
    <w:p>
      <w:pPr>
        <w:pStyle w:val="Heading1"/>
        <w:spacing w:before="160" w:after="120"/>
        <w:ind w:left="0"/>
      </w:pPr>
      <w:r>
        <w:t>10 Investment Summary</w:t>
      </w:r>
    </w:p>
    <w:p>
      <w:r>
        <w:rPr>
          <w:rFonts w:ascii="Calibri" w:hAnsi="Calibri"/>
          <w:b/>
          <w:sz w:val="24"/>
        </w:rPr>
        <w:t>Enterprise AI Supercomputing Deployment:</w:t>
      </w:r>
      <w:r>
        <w:rPr>
          <w:rFonts w:ascii="Calibri" w:hAnsi="Calibri"/>
          <w:sz w:val="24"/>
        </w:rPr>
        <w:t xml:space="preserve"> This pricing reflects an enterprise-scale DGX SuperPOD deployment with 64 H100 GPUs designed for large-scale model training supporting 50+ data scientists. Total capacity: 32 petaFLOPS FP8, 5.1 TB GPU memory, 1 PB storage.</w:t>
      </w:r>
    </w:p>
    <w:p>
      <w:pPr>
        <w:pStyle w:val="Heading2"/>
        <w:spacing w:before="240" w:after="120"/>
        <w:ind w:left="0"/>
      </w:pPr>
      <w:r>
        <w:t>10.1 Total Investment</w:t>
      </w:r>
    </w:p>
    <w:p>
      <w:r>
        <w:rPr>
          <w:rFonts w:ascii="Calibri" w:hAnsi="Calibri"/>
          <w:sz w:val="24"/>
        </w:rPr>
        <w:t>The table below summarizes the total investment required across all cost categories, including professional services, infrastructure, and ongoing support over a three-year period.</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Cost Category</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List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AWS/Partner Credits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Net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2</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3</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3-Year Total</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Professional Services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Facilities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$350,000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$350,000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$350,000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Hardware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$4,550,000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($180,000)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$4,370,000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$4,370,000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Software Licenses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$211,200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($15,000)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$196,200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$76,640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$76,640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$349,480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&amp; Maintenance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$320,000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$320,000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$320,000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$320,000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$960,000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INVESTMENT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$5,431,200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($195,000)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$5,236,200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$396,640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$396,640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$6,029,480</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Total Investment Summary</w:t>
      </w:r>
    </w:p>
    <w:p>
      <w:pPr>
        <w:pStyle w:val="Heading2"/>
        <w:spacing w:before="240" w:after="120"/>
        <w:ind w:left="0"/>
      </w:pPr>
      <w:r>
        <w:t>10.2 Partner Credits</w:t>
      </w:r>
    </w:p>
    <w:p>
      <w:r>
        <w:rPr>
          <w:rFonts w:ascii="Calibri" w:hAnsi="Calibri"/>
          <w:b/>
          <w:sz w:val="24"/>
        </w:rPr>
        <w:t>Year 1 Credits Applied:</w:t>
      </w:r>
      <w:r>
        <w:rPr>
          <w:rFonts w:ascii="Calibri" w:hAnsi="Calibri"/>
          <w:sz w:val="24"/>
        </w:rPr>
        <w:t xml:space="preserve"> $280,000 (5% reduction)</w:t>
      </w:r>
    </w:p>
    <w:p>
      <w:pPr>
        <w:spacing w:after="80"/>
        <w:ind w:left="360"/>
      </w:pPr>
      <w:r>
        <w:rPr>
          <w:rFonts w:ascii="Calibri" w:hAnsi="Calibri"/>
          <w:sz w:val="24"/>
        </w:rPr>
        <w:t xml:space="preserve">• </w:t>
      </w:r>
      <w:r>
        <w:rPr>
          <w:rFonts w:ascii="Calibri" w:hAnsi="Calibri"/>
          <w:b/>
          <w:sz w:val="24"/>
        </w:rPr>
        <w:t>NVIDIA Partner Implementation Credit:</w:t>
      </w:r>
      <w:r>
        <w:rPr>
          <w:rFonts w:ascii="Calibri" w:hAnsi="Calibri"/>
          <w:sz w:val="24"/>
        </w:rPr>
        <w:t xml:space="preserve"> $280,000 applied to DGX systems and InfiniBand fabric</w:t>
      </w:r>
    </w:p>
    <w:p>
      <w:pPr>
        <w:spacing w:after="80"/>
        <w:ind w:left="360"/>
      </w:pPr>
      <w:r>
        <w:rPr>
          <w:rFonts w:ascii="Calibri" w:hAnsi="Calibri"/>
          <w:sz w:val="24"/>
        </w:rPr>
        <w:t xml:space="preserve">• </w:t>
      </w:r>
      <w:r>
        <w:rPr>
          <w:rFonts w:ascii="Calibri" w:hAnsi="Calibri"/>
          <w:sz w:val="24"/>
        </w:rPr>
        <w:t>Credits are real NVIDIA account credits, applied to hardware procurement</w:t>
      </w:r>
    </w:p>
    <w:p>
      <w:pPr>
        <w:spacing w:after="80"/>
        <w:ind w:left="360"/>
      </w:pPr>
      <w:r>
        <w:rPr>
          <w:rFonts w:ascii="Calibri" w:hAnsi="Calibri"/>
          <w:sz w:val="24"/>
        </w:rPr>
        <w:t xml:space="preserve">• </w:t>
      </w:r>
      <w:r>
        <w:rPr>
          <w:rFonts w:ascii="Calibri" w:hAnsi="Calibri"/>
          <w:sz w:val="24"/>
        </w:rPr>
        <w:t>Credits are Year 1 only; hardware is one-time purchase</w:t>
      </w:r>
    </w:p>
    <w:p>
      <w:r>
        <w:rPr>
          <w:rFonts w:ascii="Calibri" w:hAnsi="Calibri"/>
          <w:b/>
          <w:sz w:val="24"/>
        </w:rPr>
        <w:t>Investment Comparison:</w:t>
      </w:r>
    </w:p>
    <w:p>
      <w:pPr>
        <w:spacing w:after="80"/>
        <w:ind w:left="360"/>
      </w:pPr>
      <w:r>
        <w:rPr>
          <w:rFonts w:ascii="Calibri" w:hAnsi="Calibri"/>
          <w:sz w:val="24"/>
        </w:rPr>
        <w:t xml:space="preserve">• </w:t>
      </w:r>
      <w:r>
        <w:rPr>
          <w:rFonts w:ascii="Calibri" w:hAnsi="Calibri"/>
          <w:b/>
          <w:sz w:val="24"/>
        </w:rPr>
        <w:t>Year 1 Net Investment:</w:t>
      </w:r>
      <w:r>
        <w:rPr>
          <w:rFonts w:ascii="Calibri" w:hAnsi="Calibri"/>
          <w:sz w:val="24"/>
        </w:rPr>
        <w:t xml:space="preserve"> $4,982,000 (after credits) vs. $5,262,000 list price</w:t>
      </w:r>
    </w:p>
    <w:p>
      <w:pPr>
        <w:spacing w:after="80"/>
        <w:ind w:left="360"/>
      </w:pPr>
      <w:r>
        <w:rPr>
          <w:rFonts w:ascii="Calibri" w:hAnsi="Calibri"/>
          <w:sz w:val="24"/>
        </w:rPr>
        <w:t xml:space="preserve">• </w:t>
      </w:r>
      <w:r>
        <w:rPr>
          <w:rFonts w:ascii="Calibri" w:hAnsi="Calibri"/>
          <w:b/>
          <w:sz w:val="24"/>
        </w:rPr>
        <w:t>3-Year Total Cost of Ownership:</w:t>
      </w:r>
      <w:r>
        <w:rPr>
          <w:rFonts w:ascii="Calibri" w:hAnsi="Calibri"/>
          <w:sz w:val="24"/>
        </w:rPr>
        <w:t xml:space="preserve"> $5,926,000</w:t>
      </w:r>
    </w:p>
    <w:p>
      <w:pPr>
        <w:spacing w:after="80"/>
        <w:ind w:left="360"/>
      </w:pPr>
      <w:r>
        <w:rPr>
          <w:rFonts w:ascii="Calibri" w:hAnsi="Calibri"/>
          <w:sz w:val="24"/>
        </w:rPr>
        <w:t xml:space="preserve">• </w:t>
      </w:r>
      <w:r>
        <w:rPr>
          <w:rFonts w:ascii="Calibri" w:hAnsi="Calibri"/>
          <w:b/>
          <w:sz w:val="24"/>
        </w:rPr>
        <w:t>Expected ROI:</w:t>
      </w:r>
      <w:r>
        <w:rPr>
          <w:rFonts w:ascii="Calibri" w:hAnsi="Calibri"/>
          <w:sz w:val="24"/>
        </w:rPr>
        <w:t xml:space="preserve"> 2.3 year payback vs AWS cloud baseline ($2.25M/year × 3 years = $6.75M)</w:t>
      </w:r>
    </w:p>
    <w:p>
      <w:pPr>
        <w:spacing w:after="80"/>
        <w:ind w:left="360"/>
      </w:pPr>
      <w:r>
        <w:rPr>
          <w:rFonts w:ascii="Calibri" w:hAnsi="Calibri"/>
          <w:sz w:val="24"/>
        </w:rPr>
        <w:t xml:space="preserve">• </w:t>
      </w:r>
      <w:r>
        <w:rPr>
          <w:rFonts w:ascii="Calibri" w:hAnsi="Calibri"/>
          <w:b/>
          <w:sz w:val="24"/>
        </w:rPr>
        <w:t>5-Year Savings:</w:t>
      </w:r>
      <w:r>
        <w:rPr>
          <w:rFonts w:ascii="Calibri" w:hAnsi="Calibri"/>
          <w:sz w:val="24"/>
        </w:rPr>
        <w:t xml:space="preserve"> $5.0M vs cloud (Year 1: $4.98M, Years 2-5: $472K/year vs cloud $2.25M/year)</w:t>
      </w:r>
    </w:p>
    <w:p>
      <w:pPr>
        <w:pStyle w:val="Heading2"/>
        <w:spacing w:before="240" w:after="120"/>
        <w:ind w:left="0"/>
      </w:pPr>
      <w:r>
        <w:t>10.3 Cost Components</w:t>
      </w:r>
    </w:p>
    <w:p>
      <w:r>
        <w:rPr>
          <w:rFonts w:ascii="Calibri" w:hAnsi="Calibri"/>
          <w:b/>
          <w:sz w:val="24"/>
        </w:rPr>
        <w:t>Professional Services</w:t>
      </w:r>
      <w:r>
        <w:rPr>
          <w:rFonts w:ascii="Calibri" w:hAnsi="Calibri"/>
          <w:sz w:val="24"/>
        </w:rPr>
        <w:t xml:space="preserve"> ($108,000 - 440 hours): Labor costs for site prep, deployment, configuration, and training. Breakdown:</w:t>
      </w:r>
    </w:p>
    <w:p>
      <w:pPr>
        <w:spacing w:after="80"/>
        <w:ind w:left="360"/>
      </w:pPr>
      <w:r>
        <w:rPr>
          <w:rFonts w:ascii="Calibri" w:hAnsi="Calibri"/>
          <w:sz w:val="24"/>
        </w:rPr>
        <w:t xml:space="preserve">• </w:t>
      </w:r>
      <w:r>
        <w:rPr>
          <w:rFonts w:ascii="Calibri" w:hAnsi="Calibri"/>
          <w:sz w:val="24"/>
        </w:rPr>
        <w:t>Site Assessment &amp; Architecture (80 hours): Datacenter survey, DGX SuperPOD design</w:t>
      </w:r>
    </w:p>
    <w:p>
      <w:pPr>
        <w:spacing w:after="80"/>
        <w:ind w:left="360"/>
      </w:pPr>
      <w:r>
        <w:rPr>
          <w:rFonts w:ascii="Calibri" w:hAnsi="Calibri"/>
          <w:sz w:val="24"/>
        </w:rPr>
        <w:t xml:space="preserve">• </w:t>
      </w:r>
      <w:r>
        <w:rPr>
          <w:rFonts w:ascii="Calibri" w:hAnsi="Calibri"/>
          <w:sz w:val="24"/>
        </w:rPr>
        <w:t>Installation &amp; Configuration (280 hours): Hardware installation, InfiniBand fabric, software stack</w:t>
      </w:r>
    </w:p>
    <w:p>
      <w:pPr>
        <w:spacing w:after="80"/>
        <w:ind w:left="360"/>
      </w:pPr>
      <w:r>
        <w:rPr>
          <w:rFonts w:ascii="Calibri" w:hAnsi="Calibri"/>
          <w:sz w:val="24"/>
        </w:rPr>
        <w:t xml:space="preserve">• </w:t>
      </w:r>
      <w:r>
        <w:rPr>
          <w:rFonts w:ascii="Calibri" w:hAnsi="Calibri"/>
          <w:sz w:val="24"/>
        </w:rPr>
        <w:t>Testing &amp; Validation (40 hours): Performance benchmarking, acceptance testing</w:t>
      </w:r>
    </w:p>
    <w:p>
      <w:pPr>
        <w:spacing w:after="80"/>
        <w:ind w:left="360"/>
      </w:pPr>
      <w:r>
        <w:rPr>
          <w:rFonts w:ascii="Calibri" w:hAnsi="Calibri"/>
          <w:sz w:val="24"/>
        </w:rPr>
        <w:t xml:space="preserve">• </w:t>
      </w:r>
      <w:r>
        <w:rPr>
          <w:rFonts w:ascii="Calibri" w:hAnsi="Calibri"/>
          <w:sz w:val="24"/>
        </w:rPr>
        <w:t>Training &amp; Support (40 hours): Knowledge transfer and 30-day post-launch hypercare</w:t>
      </w:r>
    </w:p>
    <w:p>
      <w:r>
        <w:rPr>
          <w:rFonts w:ascii="Calibri" w:hAnsi="Calibri"/>
          <w:b/>
          <w:sz w:val="24"/>
        </w:rPr>
        <w:t>Hardware Infrastructure</w:t>
      </w:r>
      <w:r>
        <w:rPr>
          <w:rFonts w:ascii="Calibri" w:hAnsi="Calibri"/>
          <w:sz w:val="24"/>
        </w:rPr>
        <w:t xml:space="preserve"> ($4,682,000 one-time): DGX systems, InfiniBand, and storage for enterprise AI:</w:t>
      </w:r>
    </w:p>
    <w:p>
      <w:pPr>
        <w:spacing w:after="80"/>
        <w:ind w:left="360"/>
      </w:pPr>
      <w:r>
        <w:rPr>
          <w:rFonts w:ascii="Calibri" w:hAnsi="Calibri"/>
          <w:sz w:val="24"/>
        </w:rPr>
        <w:t xml:space="preserve">• </w:t>
      </w:r>
      <w:r>
        <w:rPr>
          <w:rFonts w:ascii="Calibri" w:hAnsi="Calibri"/>
          <w:sz w:val="24"/>
        </w:rPr>
        <w:t>8x DGX H100 Systems (64 GPUs): $3,600,000</w:t>
      </w:r>
    </w:p>
    <w:p>
      <w:pPr>
        <w:spacing w:after="80"/>
        <w:ind w:left="360"/>
      </w:pPr>
      <w:r>
        <w:rPr>
          <w:rFonts w:ascii="Calibri" w:hAnsi="Calibri"/>
          <w:sz w:val="24"/>
        </w:rPr>
        <w:t xml:space="preserve">• </w:t>
      </w:r>
      <w:r>
        <w:rPr>
          <w:rFonts w:ascii="Calibri" w:hAnsi="Calibri"/>
          <w:sz w:val="24"/>
        </w:rPr>
        <w:t>NVIDIA Quantum-2 InfiniBand Switches (4x 400G): $340,000</w:t>
      </w:r>
    </w:p>
    <w:p>
      <w:pPr>
        <w:spacing w:after="80"/>
        <w:ind w:left="360"/>
      </w:pPr>
      <w:r>
        <w:rPr>
          <w:rFonts w:ascii="Calibri" w:hAnsi="Calibri"/>
          <w:sz w:val="24"/>
        </w:rPr>
        <w:t xml:space="preserve">• </w:t>
      </w:r>
      <w:r>
        <w:rPr>
          <w:rFonts w:ascii="Calibri" w:hAnsi="Calibri"/>
          <w:sz w:val="24"/>
        </w:rPr>
        <w:t>NVIDIA Base Command Storage (1 PB NVMe): $400,000</w:t>
      </w:r>
    </w:p>
    <w:p>
      <w:pPr>
        <w:spacing w:after="80"/>
        <w:ind w:left="360"/>
      </w:pPr>
      <w:r>
        <w:rPr>
          <w:rFonts w:ascii="Calibri" w:hAnsi="Calibri"/>
          <w:sz w:val="24"/>
        </w:rPr>
        <w:t xml:space="preserve">• </w:t>
      </w:r>
      <w:r>
        <w:rPr>
          <w:rFonts w:ascii="Calibri" w:hAnsi="Calibri"/>
          <w:sz w:val="24"/>
        </w:rPr>
        <w:t>Datacenter Power &amp; Cooling Upgrades: $150,000</w:t>
      </w:r>
    </w:p>
    <w:p>
      <w:pPr>
        <w:spacing w:after="80"/>
        <w:ind w:left="360"/>
      </w:pPr>
      <w:r>
        <w:rPr>
          <w:rFonts w:ascii="Calibri" w:hAnsi="Calibri"/>
          <w:sz w:val="24"/>
        </w:rPr>
        <w:t xml:space="preserve">• </w:t>
      </w:r>
      <w:r>
        <w:rPr>
          <w:rFonts w:ascii="Calibri" w:hAnsi="Calibri"/>
          <w:sz w:val="24"/>
        </w:rPr>
        <w:t>Installation &amp; Cabling: $192,000</w:t>
      </w:r>
    </w:p>
    <w:p>
      <w:r>
        <w:rPr>
          <w:rFonts w:ascii="Calibri" w:hAnsi="Calibri"/>
          <w:b/>
          <w:sz w:val="24"/>
        </w:rPr>
        <w:t>Software Licenses &amp; Subscriptions</w:t>
      </w:r>
      <w:r>
        <w:rPr>
          <w:rFonts w:ascii="Calibri" w:hAnsi="Calibri"/>
          <w:sz w:val="24"/>
        </w:rPr>
        <w:t xml:space="preserve"> ($192,000/year): NVIDIA AI Enterprise for GPU management:</w:t>
      </w:r>
    </w:p>
    <w:p>
      <w:pPr>
        <w:spacing w:after="80"/>
        <w:ind w:left="360"/>
      </w:pPr>
      <w:r>
        <w:rPr>
          <w:rFonts w:ascii="Calibri" w:hAnsi="Calibri"/>
          <w:sz w:val="24"/>
        </w:rPr>
        <w:t xml:space="preserve">• </w:t>
      </w:r>
      <w:r>
        <w:rPr>
          <w:rFonts w:ascii="Calibri" w:hAnsi="Calibri"/>
          <w:sz w:val="24"/>
        </w:rPr>
        <w:t>NVIDIA AI Enterprise (64 GPU licenses): $192,000/year</w:t>
      </w:r>
    </w:p>
    <w:p>
      <w:pPr>
        <w:spacing w:after="80"/>
        <w:ind w:left="360"/>
      </w:pPr>
      <w:r>
        <w:rPr>
          <w:rFonts w:ascii="Calibri" w:hAnsi="Calibri"/>
          <w:sz w:val="24"/>
        </w:rPr>
        <w:t xml:space="preserve">• </w:t>
      </w:r>
      <w:r>
        <w:rPr>
          <w:rFonts w:ascii="Calibri" w:hAnsi="Calibri"/>
          <w:sz w:val="24"/>
        </w:rPr>
        <w:t>Includes: DGX OS, NGC catalog, Triton Inference Server, RAPIDS, enterprise support</w:t>
      </w:r>
    </w:p>
    <w:p>
      <w:r>
        <w:rPr>
          <w:rFonts w:ascii="Calibri" w:hAnsi="Calibri"/>
          <w:b/>
          <w:sz w:val="24"/>
        </w:rPr>
        <w:t>Support &amp; Maintenance</w:t>
      </w:r>
      <w:r>
        <w:rPr>
          <w:rFonts w:ascii="Calibri" w:hAnsi="Calibri"/>
          <w:sz w:val="24"/>
        </w:rPr>
        <w:t xml:space="preserve"> ($280,000/year): Ongoing hardware and software support:</w:t>
      </w:r>
    </w:p>
    <w:p>
      <w:pPr>
        <w:spacing w:after="80"/>
        <w:ind w:left="360"/>
      </w:pPr>
      <w:r>
        <w:rPr>
          <w:rFonts w:ascii="Calibri" w:hAnsi="Calibri"/>
          <w:sz w:val="24"/>
        </w:rPr>
        <w:t xml:space="preserve">• </w:t>
      </w:r>
      <w:r>
        <w:rPr>
          <w:rFonts w:ascii="Calibri" w:hAnsi="Calibri"/>
          <w:sz w:val="24"/>
        </w:rPr>
        <w:t>NVIDIA DGX Support &amp; Services: $280,000/year</w:t>
      </w:r>
    </w:p>
    <w:p>
      <w:pPr>
        <w:spacing w:after="80"/>
        <w:ind w:left="360"/>
      </w:pPr>
      <w:r>
        <w:rPr>
          <w:rFonts w:ascii="Calibri" w:hAnsi="Calibri"/>
          <w:sz w:val="24"/>
        </w:rPr>
        <w:t xml:space="preserve">• </w:t>
      </w:r>
      <w:r>
        <w:rPr>
          <w:rFonts w:ascii="Calibri" w:hAnsi="Calibri"/>
          <w:sz w:val="24"/>
        </w:rPr>
        <w:t>24/7 hardware support, firmware updates, technical assistance</w:t>
      </w:r>
    </w:p>
    <w:p>
      <w:pPr>
        <w:spacing w:after="80"/>
        <w:ind w:left="360"/>
      </w:pPr>
      <w:r>
        <w:rPr>
          <w:rFonts w:ascii="Calibri" w:hAnsi="Calibri"/>
          <w:sz w:val="24"/>
        </w:rPr>
        <w:t xml:space="preserve">• </w:t>
      </w:r>
      <w:r>
        <w:rPr>
          <w:rFonts w:ascii="Calibri" w:hAnsi="Calibri"/>
          <w:sz w:val="24"/>
        </w:rPr>
        <w:t>InfiniBand fabric support included</w:t>
      </w:r>
    </w:p>
    <w:p>
      <w:pPr>
        <w:pStyle w:val="Heading2"/>
        <w:spacing w:before="240" w:after="120"/>
        <w:ind w:left="0"/>
      </w:pPr>
      <w:r>
        <w:t>10.4 Payment Terms</w:t>
      </w:r>
    </w:p>
    <w:p>
      <w:pPr>
        <w:pStyle w:val="Heading3"/>
        <w:spacing w:before="160" w:after="120"/>
        <w:ind w:left="0"/>
      </w:pPr>
      <w:r>
        <w:t>10.4.1 Pricing Model</w:t>
      </w:r>
    </w:p>
    <w:p>
      <w:pPr>
        <w:spacing w:after="80"/>
        <w:ind w:left="360"/>
      </w:pPr>
      <w:r>
        <w:rPr>
          <w:rFonts w:ascii="Calibri" w:hAnsi="Calibri"/>
          <w:sz w:val="24"/>
        </w:rPr>
        <w:t xml:space="preserve">• </w:t>
      </w:r>
      <w:r>
        <w:rPr>
          <w:rFonts w:ascii="Calibri" w:hAnsi="Calibri"/>
          <w:sz w:val="24"/>
        </w:rPr>
        <w:t>Fixed price for professional services</w:t>
      </w:r>
    </w:p>
    <w:p>
      <w:pPr>
        <w:spacing w:after="80"/>
        <w:ind w:left="360"/>
      </w:pPr>
      <w:r>
        <w:rPr>
          <w:rFonts w:ascii="Calibri" w:hAnsi="Calibri"/>
          <w:sz w:val="24"/>
        </w:rPr>
        <w:t xml:space="preserve">• </w:t>
      </w:r>
      <w:r>
        <w:rPr>
          <w:rFonts w:ascii="Calibri" w:hAnsi="Calibri"/>
          <w:sz w:val="24"/>
        </w:rPr>
        <w:t>Hardware procured at NVIDIA list pricing (minus credits)</w:t>
      </w:r>
    </w:p>
    <w:p>
      <w:pPr>
        <w:spacing w:after="80"/>
        <w:ind w:left="360"/>
      </w:pPr>
      <w:r>
        <w:rPr>
          <w:rFonts w:ascii="Calibri" w:hAnsi="Calibri"/>
          <w:sz w:val="24"/>
        </w:rPr>
        <w:t xml:space="preserve">• </w:t>
      </w:r>
      <w:r>
        <w:rPr>
          <w:rFonts w:ascii="Calibri" w:hAnsi="Calibri"/>
          <w:sz w:val="24"/>
        </w:rPr>
        <w:t>Annual subscription pricing for software and support</w:t>
      </w:r>
    </w:p>
    <w:p>
      <w:pPr>
        <w:pStyle w:val="Heading3"/>
        <w:spacing w:before="160" w:after="120"/>
        <w:ind w:left="0"/>
      </w:pPr>
      <w:r>
        <w:t>10.4.2 Payment Schedule</w:t>
      </w:r>
    </w:p>
    <w:p>
      <w:pPr>
        <w:spacing w:after="80"/>
        <w:ind w:left="360"/>
      </w:pPr>
      <w:r>
        <w:rPr>
          <w:rFonts w:ascii="Calibri" w:hAnsi="Calibri"/>
          <w:sz w:val="24"/>
        </w:rPr>
        <w:t xml:space="preserve">• </w:t>
      </w:r>
      <w:r>
        <w:rPr>
          <w:rFonts w:ascii="Calibri" w:hAnsi="Calibri"/>
          <w:sz w:val="24"/>
        </w:rPr>
        <w:t>20% upon SOW execution and project kickoff</w:t>
      </w:r>
    </w:p>
    <w:p>
      <w:pPr>
        <w:spacing w:after="80"/>
        <w:ind w:left="360"/>
      </w:pPr>
      <w:r>
        <w:rPr>
          <w:rFonts w:ascii="Calibri" w:hAnsi="Calibri"/>
          <w:sz w:val="24"/>
        </w:rPr>
        <w:t xml:space="preserve">• </w:t>
      </w:r>
      <w:r>
        <w:rPr>
          <w:rFonts w:ascii="Calibri" w:hAnsi="Calibri"/>
          <w:sz w:val="24"/>
        </w:rPr>
        <w:t>60% upon hardware delivery and installation completion</w:t>
      </w:r>
    </w:p>
    <w:p>
      <w:pPr>
        <w:spacing w:after="80"/>
        <w:ind w:left="360"/>
      </w:pPr>
      <w:r>
        <w:rPr>
          <w:rFonts w:ascii="Calibri" w:hAnsi="Calibri"/>
          <w:sz w:val="24"/>
        </w:rPr>
        <w:t xml:space="preserve">• </w:t>
      </w:r>
      <w:r>
        <w:rPr>
          <w:rFonts w:ascii="Calibri" w:hAnsi="Calibri"/>
          <w:sz w:val="24"/>
        </w:rPr>
        <w:t>15% upon successful performance validation</w:t>
      </w:r>
    </w:p>
    <w:p>
      <w:pPr>
        <w:spacing w:after="80"/>
        <w:ind w:left="360"/>
      </w:pPr>
      <w:r>
        <w:rPr>
          <w:rFonts w:ascii="Calibri" w:hAnsi="Calibri"/>
          <w:sz w:val="24"/>
        </w:rPr>
        <w:t xml:space="preserve">• </w:t>
      </w:r>
      <w:r>
        <w:rPr>
          <w:rFonts w:ascii="Calibri" w:hAnsi="Calibri"/>
          <w:sz w:val="24"/>
        </w:rPr>
        <w:t>5% upon go-live and project acceptance</w:t>
      </w:r>
    </w:p>
    <w:p>
      <w:pPr>
        <w:pStyle w:val="Heading2"/>
        <w:spacing w:before="240" w:after="120"/>
        <w:ind w:left="0"/>
      </w:pPr>
      <w:r>
        <w:t>10.5 Invoicing &amp; Expenses</w:t>
      </w:r>
    </w:p>
    <w:p>
      <w:pPr>
        <w:pStyle w:val="Heading3"/>
        <w:spacing w:before="160" w:after="120"/>
        <w:ind w:left="0"/>
      </w:pPr>
      <w:r>
        <w:t>10.5.1 Invoicing</w:t>
      </w:r>
    </w:p>
    <w:p>
      <w:pPr>
        <w:spacing w:after="80"/>
        <w:ind w:left="360"/>
      </w:pPr>
      <w:r>
        <w:rPr>
          <w:rFonts w:ascii="Calibri" w:hAnsi="Calibri"/>
          <w:sz w:val="24"/>
        </w:rPr>
        <w:t xml:space="preserve">• </w:t>
      </w:r>
      <w:r>
        <w:rPr>
          <w:rFonts w:ascii="Calibri" w:hAnsi="Calibri"/>
          <w:sz w:val="24"/>
        </w:rPr>
        <w:t>Milestone-based invoicing per Payment Terms above</w:t>
      </w:r>
    </w:p>
    <w:p>
      <w:pPr>
        <w:spacing w:after="80"/>
        <w:ind w:left="360"/>
      </w:pPr>
      <w:r>
        <w:rPr>
          <w:rFonts w:ascii="Calibri" w:hAnsi="Calibri"/>
          <w:sz w:val="24"/>
        </w:rPr>
        <w:t xml:space="preserve">• </w:t>
      </w:r>
      <w:r>
        <w:rPr>
          <w:rFonts w:ascii="Calibri" w:hAnsi="Calibri"/>
          <w:sz w:val="24"/>
        </w:rPr>
        <w:t>Net 30 payment terms</w:t>
      </w:r>
    </w:p>
    <w:p>
      <w:pPr>
        <w:spacing w:after="80"/>
        <w:ind w:left="360"/>
      </w:pPr>
      <w:r>
        <w:rPr>
          <w:rFonts w:ascii="Calibri" w:hAnsi="Calibri"/>
          <w:sz w:val="24"/>
        </w:rPr>
        <w:t xml:space="preserve">• </w:t>
      </w:r>
      <w:r>
        <w:rPr>
          <w:rFonts w:ascii="Calibri" w:hAnsi="Calibri"/>
          <w:sz w:val="24"/>
        </w:rPr>
        <w:t>Invoices submitted upon milestone completion and acceptance</w:t>
      </w:r>
    </w:p>
    <w:p>
      <w:pPr>
        <w:pStyle w:val="Heading3"/>
        <w:spacing w:before="160" w:after="120"/>
        <w:ind w:left="0"/>
      </w:pPr>
      <w:r>
        <w:t>10.5.2 Expenses</w:t>
      </w:r>
    </w:p>
    <w:p>
      <w:pPr>
        <w:spacing w:after="80"/>
        <w:ind w:left="360"/>
      </w:pPr>
      <w:r>
        <w:rPr>
          <w:rFonts w:ascii="Calibri" w:hAnsi="Calibri"/>
          <w:sz w:val="24"/>
        </w:rPr>
        <w:t xml:space="preserve">• </w:t>
      </w:r>
      <w:r>
        <w:rPr>
          <w:rFonts w:ascii="Calibri" w:hAnsi="Calibri"/>
          <w:sz w:val="24"/>
        </w:rPr>
        <w:t>Hardware costs are one-time purchase ($4.68M Year 1, included in pricing)</w:t>
      </w:r>
    </w:p>
    <w:p>
      <w:pPr>
        <w:spacing w:after="80"/>
        <w:ind w:left="360"/>
      </w:pPr>
      <w:r>
        <w:rPr>
          <w:rFonts w:ascii="Calibri" w:hAnsi="Calibri"/>
          <w:sz w:val="24"/>
        </w:rPr>
        <w:t xml:space="preserve">• </w:t>
      </w:r>
      <w:r>
        <w:rPr>
          <w:rFonts w:ascii="Calibri" w:hAnsi="Calibri"/>
          <w:sz w:val="24"/>
        </w:rPr>
        <w:t>Annual software licenses billed annually ($192K/year)</w:t>
      </w:r>
    </w:p>
    <w:p>
      <w:pPr>
        <w:spacing w:after="80"/>
        <w:ind w:left="360"/>
      </w:pPr>
      <w:r>
        <w:rPr>
          <w:rFonts w:ascii="Calibri" w:hAnsi="Calibri"/>
          <w:sz w:val="24"/>
        </w:rPr>
        <w:t xml:space="preserve">• </w:t>
      </w:r>
      <w:r>
        <w:rPr>
          <w:rFonts w:ascii="Calibri" w:hAnsi="Calibri"/>
          <w:sz w:val="24"/>
        </w:rPr>
        <w:t>Annual support billed annually ($280K/year)</w:t>
      </w:r>
    </w:p>
    <w:p>
      <w:pPr>
        <w:spacing w:after="80"/>
        <w:ind w:left="360"/>
      </w:pPr>
      <w:r>
        <w:rPr>
          <w:rFonts w:ascii="Calibri" w:hAnsi="Calibri"/>
          <w:sz w:val="24"/>
        </w:rPr>
        <w:t xml:space="preserve">• </w:t>
      </w:r>
      <w:r>
        <w:rPr>
          <w:rFonts w:ascii="Calibri" w:hAnsi="Calibri"/>
          <w:sz w:val="24"/>
        </w:rPr>
        <w:t>Travel and on-site expenses reimbursable at cost with prior approval</w:t>
      </w:r>
    </w:p>
    <w:p>
      <w:pPr>
        <w:spacing w:after="80"/>
        <w:ind w:left="360"/>
      </w:pPr>
      <w:r>
        <w:rPr>
          <w:rFonts w:ascii="Calibri" w:hAnsi="Calibri"/>
          <w:sz w:val="24"/>
        </w:rPr>
        <w:t xml:space="preserve">• </w:t>
      </w:r>
      <w:r>
        <w:rPr>
          <w:rFonts w:ascii="Calibri" w:hAnsi="Calibri"/>
          <w:sz w:val="24"/>
        </w:rPr>
        <w:t>Estimated 4-6 on-site visits during deployment phase</w:t>
      </w:r>
    </w:p>
    <w:p>
      <w:pPr>
        <w:pStyle w:val="Heading1"/>
        <w:spacing w:before="160" w:after="120"/>
        <w:ind w:left="0"/>
      </w:pPr>
      <w:r>
        <w:t>11 Terms &amp; Conditions</w:t>
      </w:r>
    </w:p>
    <w:p>
      <w:pPr>
        <w:pStyle w:val="Heading2"/>
        <w:spacing w:before="240" w:after="120"/>
        <w:ind w:left="0"/>
      </w:pPr>
      <w:r>
        <w:t>11.1 General Terms</w:t>
      </w:r>
    </w:p>
    <w:p>
      <w:r>
        <w:rPr>
          <w:rFonts w:ascii="Calibri" w:hAnsi="Calibri"/>
          <w:sz w:val="24"/>
        </w:rPr>
        <w:t>All services will be delivered in accordance with the executed Master Services Agreement (MSA) or equivalent contractual document between Vendor and Client.</w:t>
      </w:r>
    </w:p>
    <w:p>
      <w:pPr>
        <w:pStyle w:val="Heading2"/>
        <w:spacing w:before="240" w:after="120"/>
        <w:ind w:left="0"/>
      </w:pPr>
      <w:r>
        <w:t>11.2 Scope Changes</w:t>
      </w:r>
    </w:p>
    <w:p>
      <w:pPr>
        <w:spacing w:after="80"/>
        <w:ind w:left="360"/>
      </w:pPr>
      <w:r>
        <w:rPr>
          <w:rFonts w:ascii="Calibri" w:hAnsi="Calibri"/>
          <w:sz w:val="24"/>
        </w:rPr>
        <w:t xml:space="preserve">• </w:t>
      </w:r>
      <w:r>
        <w:rPr>
          <w:rFonts w:ascii="Calibri" w:hAnsi="Calibri"/>
          <w:sz w:val="24"/>
        </w:rPr>
        <w:t>Changes to GPU count, InfiniBand topology, storage capacity, or timeline require formal change requests</w:t>
      </w:r>
    </w:p>
    <w:p>
      <w:pPr>
        <w:spacing w:after="80"/>
        <w:ind w:left="360"/>
      </w:pPr>
      <w:r>
        <w:rPr>
          <w:rFonts w:ascii="Calibri" w:hAnsi="Calibri"/>
          <w:sz w:val="24"/>
        </w:rPr>
        <w:t xml:space="preserve">• </w:t>
      </w:r>
      <w:r>
        <w:rPr>
          <w:rFonts w:ascii="Calibri" w:hAnsi="Calibri"/>
          <w:sz w:val="24"/>
        </w:rPr>
        <w:t>Hardware lead times (12-16 weeks) may impact change request feasibility</w:t>
      </w:r>
    </w:p>
    <w:p>
      <w:pPr>
        <w:spacing w:after="80"/>
        <w:ind w:left="360"/>
      </w:pPr>
      <w:r>
        <w:rPr>
          <w:rFonts w:ascii="Calibri" w:hAnsi="Calibri"/>
          <w:sz w:val="24"/>
        </w:rPr>
        <w:t xml:space="preserve">• </w:t>
      </w:r>
      <w:r>
        <w:rPr>
          <w:rFonts w:ascii="Calibri" w:hAnsi="Calibri"/>
          <w:sz w:val="24"/>
        </w:rPr>
        <w:t>Change requests may impact project timeline and budget</w:t>
      </w:r>
    </w:p>
    <w:p>
      <w:pPr>
        <w:pStyle w:val="Heading2"/>
        <w:spacing w:before="240" w:after="120"/>
        <w:ind w:left="0"/>
      </w:pPr>
      <w:r>
        <w:t>11.3 Intellectual Property</w:t>
      </w:r>
    </w:p>
    <w:p>
      <w:pPr>
        <w:spacing w:after="80"/>
        <w:ind w:left="360"/>
      </w:pPr>
      <w:r>
        <w:rPr>
          <w:rFonts w:ascii="Calibri" w:hAnsi="Calibri"/>
          <w:sz w:val="24"/>
        </w:rPr>
        <w:t xml:space="preserve">• </w:t>
      </w:r>
      <w:r>
        <w:rPr>
          <w:rFonts w:ascii="Calibri" w:hAnsi="Calibri"/>
          <w:sz w:val="24"/>
        </w:rPr>
        <w:t>Client retains ownership of all training data, models, and AI applications</w:t>
      </w:r>
    </w:p>
    <w:p>
      <w:pPr>
        <w:spacing w:after="80"/>
        <w:ind w:left="360"/>
      </w:pPr>
      <w:r>
        <w:rPr>
          <w:rFonts w:ascii="Calibri" w:hAnsi="Calibri"/>
          <w:sz w:val="24"/>
        </w:rPr>
        <w:t xml:space="preserve">• </w:t>
      </w:r>
      <w:r>
        <w:rPr>
          <w:rFonts w:ascii="Calibri" w:hAnsi="Calibri"/>
          <w:sz w:val="24"/>
        </w:rPr>
        <w:t>Vendor retains ownership of proprietary deployment methodologies</w:t>
      </w:r>
    </w:p>
    <w:p>
      <w:pPr>
        <w:spacing w:after="80"/>
        <w:ind w:left="360"/>
      </w:pPr>
      <w:r>
        <w:rPr>
          <w:rFonts w:ascii="Calibri" w:hAnsi="Calibri"/>
          <w:sz w:val="24"/>
        </w:rPr>
        <w:t xml:space="preserve">• </w:t>
      </w:r>
      <w:r>
        <w:rPr>
          <w:rFonts w:ascii="Calibri" w:hAnsi="Calibri"/>
          <w:sz w:val="24"/>
        </w:rPr>
        <w:t>NVIDIA retains ownership of DGX OS, Base Command, and NGC content</w:t>
      </w:r>
    </w:p>
    <w:p>
      <w:pPr>
        <w:spacing w:after="80"/>
        <w:ind w:left="360"/>
      </w:pPr>
      <w:r>
        <w:rPr>
          <w:rFonts w:ascii="Calibri" w:hAnsi="Calibri"/>
          <w:sz w:val="24"/>
        </w:rPr>
        <w:t xml:space="preserve">• </w:t>
      </w:r>
      <w:r>
        <w:rPr>
          <w:rFonts w:ascii="Calibri" w:hAnsi="Calibri"/>
          <w:sz w:val="24"/>
        </w:rPr>
        <w:t>Custom configurations and scripts transfer to Client upon final payment</w:t>
      </w:r>
    </w:p>
    <w:p>
      <w:pPr>
        <w:pStyle w:val="Heading2"/>
        <w:spacing w:before="240" w:after="120"/>
        <w:ind w:left="0"/>
      </w:pPr>
      <w:r>
        <w:t>11.4 Service Levels</w:t>
      </w:r>
    </w:p>
    <w:p>
      <w:pPr>
        <w:spacing w:after="80"/>
        <w:ind w:left="360"/>
      </w:pPr>
      <w:r>
        <w:rPr>
          <w:rFonts w:ascii="Calibri" w:hAnsi="Calibri"/>
          <w:sz w:val="24"/>
        </w:rPr>
        <w:t xml:space="preserve">• </w:t>
      </w:r>
      <w:r>
        <w:rPr>
          <w:rFonts w:ascii="Calibri" w:hAnsi="Calibri"/>
          <w:sz w:val="24"/>
        </w:rPr>
        <w:t>DGX SuperPOD availability: 99.5% uptime during business hours</w:t>
      </w:r>
    </w:p>
    <w:p>
      <w:pPr>
        <w:spacing w:after="80"/>
        <w:ind w:left="360"/>
      </w:pPr>
      <w:r>
        <w:rPr>
          <w:rFonts w:ascii="Calibri" w:hAnsi="Calibri"/>
          <w:sz w:val="24"/>
        </w:rPr>
        <w:t xml:space="preserve">• </w:t>
      </w:r>
      <w:r>
        <w:rPr>
          <w:rFonts w:ascii="Calibri" w:hAnsi="Calibri"/>
          <w:sz w:val="24"/>
        </w:rPr>
        <w:t>GPU compute performance: 32 petaFLOPS FP8 validated</w:t>
      </w:r>
    </w:p>
    <w:p>
      <w:pPr>
        <w:spacing w:after="80"/>
        <w:ind w:left="360"/>
      </w:pPr>
      <w:r>
        <w:rPr>
          <w:rFonts w:ascii="Calibri" w:hAnsi="Calibri"/>
          <w:sz w:val="24"/>
        </w:rPr>
        <w:t xml:space="preserve">• </w:t>
      </w:r>
      <w:r>
        <w:rPr>
          <w:rFonts w:ascii="Calibri" w:hAnsi="Calibri"/>
          <w:sz w:val="24"/>
        </w:rPr>
        <w:t>InfiniBand latency: &lt;2 microseconds GPU-to-GPU</w:t>
      </w:r>
    </w:p>
    <w:p>
      <w:pPr>
        <w:spacing w:after="80"/>
        <w:ind w:left="360"/>
      </w:pPr>
      <w:r>
        <w:rPr>
          <w:rFonts w:ascii="Calibri" w:hAnsi="Calibri"/>
          <w:sz w:val="24"/>
        </w:rPr>
        <w:t xml:space="preserve">• </w:t>
      </w:r>
      <w:r>
        <w:rPr>
          <w:rFonts w:ascii="Calibri" w:hAnsi="Calibri"/>
          <w:sz w:val="24"/>
        </w:rPr>
        <w:t>Storage throughput: 14 GB/s sustained validated</w:t>
      </w:r>
    </w:p>
    <w:p>
      <w:pPr>
        <w:spacing w:after="80"/>
        <w:ind w:left="360"/>
      </w:pPr>
      <w:r>
        <w:rPr>
          <w:rFonts w:ascii="Calibri" w:hAnsi="Calibri"/>
          <w:sz w:val="24"/>
        </w:rPr>
        <w:t xml:space="preserve">• </w:t>
      </w:r>
      <w:r>
        <w:rPr>
          <w:rFonts w:ascii="Calibri" w:hAnsi="Calibri"/>
          <w:sz w:val="24"/>
        </w:rPr>
        <w:t>30-day warranty on all deliverables from go-live date</w:t>
      </w:r>
    </w:p>
    <w:p>
      <w:pPr>
        <w:spacing w:after="80"/>
        <w:ind w:left="360"/>
      </w:pPr>
      <w:r>
        <w:rPr>
          <w:rFonts w:ascii="Calibri" w:hAnsi="Calibri"/>
          <w:sz w:val="24"/>
        </w:rPr>
        <w:t xml:space="preserve">• </w:t>
      </w:r>
      <w:r>
        <w:rPr>
          <w:rFonts w:ascii="Calibri" w:hAnsi="Calibri"/>
          <w:sz w:val="24"/>
        </w:rPr>
        <w:t>Post-warranty support available under separate managed services agreement</w:t>
      </w:r>
    </w:p>
    <w:p>
      <w:pPr>
        <w:pStyle w:val="Heading2"/>
        <w:spacing w:before="240" w:after="120"/>
        <w:ind w:left="0"/>
      </w:pPr>
      <w:r>
        <w:t>11.5 Liability</w:t>
      </w:r>
    </w:p>
    <w:p>
      <w:pPr>
        <w:spacing w:after="80"/>
        <w:ind w:left="360"/>
      </w:pPr>
      <w:r>
        <w:rPr>
          <w:rFonts w:ascii="Calibri" w:hAnsi="Calibri"/>
          <w:sz w:val="24"/>
        </w:rPr>
        <w:t xml:space="preserve">• </w:t>
      </w:r>
      <w:r>
        <w:rPr>
          <w:rFonts w:ascii="Calibri" w:hAnsi="Calibri"/>
          <w:sz w:val="24"/>
        </w:rPr>
        <w:t>Performance guarantees apply to NVIDIA-validated benchmark workloads</w:t>
      </w:r>
    </w:p>
    <w:p>
      <w:pPr>
        <w:spacing w:after="80"/>
        <w:ind w:left="360"/>
      </w:pPr>
      <w:r>
        <w:rPr>
          <w:rFonts w:ascii="Calibri" w:hAnsi="Calibri"/>
          <w:sz w:val="24"/>
        </w:rPr>
        <w:t xml:space="preserve">• </w:t>
      </w:r>
      <w:r>
        <w:rPr>
          <w:rFonts w:ascii="Calibri" w:hAnsi="Calibri"/>
          <w:sz w:val="24"/>
        </w:rPr>
        <w:t>Custom AI workload performance may vary based on implementation</w:t>
      </w:r>
    </w:p>
    <w:p>
      <w:pPr>
        <w:spacing w:after="80"/>
        <w:ind w:left="360"/>
      </w:pPr>
      <w:r>
        <w:rPr>
          <w:rFonts w:ascii="Calibri" w:hAnsi="Calibri"/>
          <w:sz w:val="24"/>
        </w:rPr>
        <w:t xml:space="preserve">• </w:t>
      </w:r>
      <w:r>
        <w:rPr>
          <w:rFonts w:ascii="Calibri" w:hAnsi="Calibri"/>
          <w:sz w:val="24"/>
        </w:rPr>
        <w:t>Hardware warranty and support provided by NVIDIA per standard terms</w:t>
      </w:r>
    </w:p>
    <w:p>
      <w:pPr>
        <w:spacing w:after="80"/>
        <w:ind w:left="360"/>
      </w:pPr>
      <w:r>
        <w:rPr>
          <w:rFonts w:ascii="Calibri" w:hAnsi="Calibri"/>
          <w:sz w:val="24"/>
        </w:rPr>
        <w:t xml:space="preserve">• </w:t>
      </w:r>
      <w:r>
        <w:rPr>
          <w:rFonts w:ascii="Calibri" w:hAnsi="Calibri"/>
          <w:sz w:val="24"/>
        </w:rPr>
        <w:t>Liability caps as agreed in MSA</w:t>
      </w:r>
    </w:p>
    <w:p>
      <w:pPr>
        <w:pStyle w:val="Heading2"/>
        <w:spacing w:before="240" w:after="120"/>
        <w:ind w:left="0"/>
      </w:pPr>
      <w:r>
        <w:t>11.6 Confidentiality</w:t>
      </w:r>
    </w:p>
    <w:p>
      <w:pPr>
        <w:spacing w:after="80"/>
        <w:ind w:left="360"/>
      </w:pPr>
      <w:r>
        <w:rPr>
          <w:rFonts w:ascii="Calibri" w:hAnsi="Calibri"/>
          <w:sz w:val="24"/>
        </w:rPr>
        <w:t xml:space="preserve">• </w:t>
      </w:r>
      <w:r>
        <w:rPr>
          <w:rFonts w:ascii="Calibri" w:hAnsi="Calibri"/>
          <w:sz w:val="24"/>
        </w:rPr>
        <w:t>Both parties agree to maintain strict confidentiality of business data, AI models, and proprietary methodologies</w:t>
      </w:r>
    </w:p>
    <w:p>
      <w:pPr>
        <w:spacing w:after="80"/>
        <w:ind w:left="360"/>
      </w:pPr>
      <w:r>
        <w:rPr>
          <w:rFonts w:ascii="Calibri" w:hAnsi="Calibri"/>
          <w:sz w:val="24"/>
        </w:rPr>
        <w:t xml:space="preserve">• </w:t>
      </w:r>
      <w:r>
        <w:rPr>
          <w:rFonts w:ascii="Calibri" w:hAnsi="Calibri"/>
          <w:sz w:val="24"/>
        </w:rPr>
        <w:t>All exchanged artifacts under NDA protection</w:t>
      </w:r>
    </w:p>
    <w:p>
      <w:pPr>
        <w:pStyle w:val="Heading2"/>
        <w:spacing w:before="240" w:after="120"/>
        <w:ind w:left="0"/>
      </w:pPr>
      <w:r>
        <w:t>11.7 Termination</w:t>
      </w:r>
    </w:p>
    <w:p>
      <w:pPr>
        <w:spacing w:after="80"/>
        <w:ind w:left="360"/>
      </w:pPr>
      <w:r>
        <w:rPr>
          <w:rFonts w:ascii="Calibri" w:hAnsi="Calibri"/>
          <w:sz w:val="24"/>
        </w:rPr>
        <w:t xml:space="preserve">• </w:t>
      </w:r>
      <w:r>
        <w:rPr>
          <w:rFonts w:ascii="Calibri" w:hAnsi="Calibri"/>
          <w:sz w:val="24"/>
        </w:rPr>
        <w:t>Mutually terminable per MSA terms, subject to payment for completed work</w:t>
      </w:r>
    </w:p>
    <w:p>
      <w:pPr>
        <w:spacing w:after="80"/>
        <w:ind w:left="360"/>
      </w:pPr>
      <w:r>
        <w:rPr>
          <w:rFonts w:ascii="Calibri" w:hAnsi="Calibri"/>
          <w:sz w:val="24"/>
        </w:rPr>
        <w:t xml:space="preserve">• </w:t>
      </w:r>
      <w:r>
        <w:rPr>
          <w:rFonts w:ascii="Calibri" w:hAnsi="Calibri"/>
          <w:sz w:val="24"/>
        </w:rPr>
        <w:t>Hardware procurement is non-refundable once ordered (12-16 week lead time)</w:t>
      </w:r>
    </w:p>
    <w:p>
      <w:pPr>
        <w:pStyle w:val="Heading2"/>
        <w:spacing w:before="240" w:after="120"/>
        <w:ind w:left="0"/>
      </w:pPr>
      <w:r>
        <w:t>11.8 Governing Law</w:t>
      </w:r>
    </w:p>
    <w:p>
      <w:pPr>
        <w:spacing w:after="80"/>
        <w:ind w:left="360"/>
      </w:pPr>
      <w:r>
        <w:rPr>
          <w:rFonts w:ascii="Calibri" w:hAnsi="Calibri"/>
          <w:sz w:val="24"/>
        </w:rPr>
        <w:t xml:space="preserve">• </w:t>
      </w:r>
      <w:r>
        <w:rPr>
          <w:rFonts w:ascii="Calibri" w:hAnsi="Calibri"/>
          <w:sz w:val="24"/>
        </w:rPr>
        <w:t>Agreement governed under the laws of [State/Region]</w:t>
      </w:r>
    </w:p>
    <w:p>
      <w:pPr>
        <w:pStyle w:val="Heading1"/>
        <w:spacing w:before="240" w:after="120"/>
        <w:ind w:left="0"/>
      </w:pPr>
      <w:r>
        <w:t>12 Sign-Off</w:t>
      </w:r>
    </w:p>
    <w:p>
      <w:pPr>
        <w:spacing w:after="240"/>
      </w:pPr>
      <w:r>
        <w:t>By signing below, both parties agree to the scope, approach, and terms outlined in this Statement of Work.</w:t>
      </w:r>
    </w:p>
    <w:tbl>
      <w:tblPr>
        <w:tblStyle w:val="TableGrid"/>
        <w:tblW w:type="auto" w:w="0"/>
        <w:tblLayout w:type="fixed"/>
        <w:tblLook w:firstColumn="1" w:firstRow="1" w:lastColumn="0" w:lastRow="0" w:noHBand="0" w:noVBand="1" w:val="04A0"/>
      </w:tblPr>
      <w:tblGrid>
        <w:gridCol w:w="4320"/>
        <w:gridCol w:w="4320"/>
      </w:tblGrid>
      <w:tr>
        <w:trPr>
          <w:trHeight w:val="576"/>
        </w:trPr>
        <w:tc>
          <w:tcPr>
            <w:tcW w:type="dxa" w:w="4680"/>
            <w:shd w:fill="E8F0F8"/>
            <w:vAlign w:val="center"/>
          </w:tcPr>
          <w:p>
            <w:pPr>
              <w:jc w:val="center"/>
            </w:pPr>
            <w:r>
              <w:rPr>
                <w:b/>
                <w:sz w:val="24"/>
              </w:rPr>
              <w:t>CLIENT</w:t>
            </w:r>
          </w:p>
        </w:tc>
        <w:tc>
          <w:tcPr>
            <w:tcW w:type="dxa" w:w="4680"/>
            <w:shd w:fill="E8F0F8"/>
            <w:vAlign w:val="center"/>
          </w:tcPr>
          <w:p>
            <w:pPr>
              <w:jc w:val="center"/>
            </w:pPr>
            <w:r>
              <w:rPr>
                <w:b/>
                <w:sz w:val="24"/>
              </w:rPr>
              <w:t>CONSULTING COMPANY</w:t>
            </w:r>
          </w:p>
        </w:tc>
      </w:tr>
      <w:tr>
        <w:trPr>
          <w:trHeight w:val="720"/>
        </w:trPr>
        <w:tc>
          <w:tcPr>
            <w:tcW w:type="dxa" w:w="4680"/>
            <w:vAlign w:val="bottom"/>
            <w:tcMar>
              <w:bottom w:w="144" w:type="dxa"/>
            </w:tcMar>
          </w:tcPr>
          <w:p>
            <w:r>
              <w:t>Name: ___________________________</w:t>
            </w:r>
          </w:p>
        </w:tc>
        <w:tc>
          <w:tcPr>
            <w:tcW w:type="dxa" w:w="4680"/>
            <w:vAlign w:val="bottom"/>
            <w:tcMar>
              <w:bottom w:w="144" w:type="dxa"/>
            </w:tcMar>
          </w:tcPr>
          <w:p>
            <w:r>
              <w:t>Name: ___________________________</w:t>
            </w:r>
          </w:p>
        </w:tc>
      </w:tr>
      <w:tr>
        <w:trPr>
          <w:trHeight w:val="720"/>
        </w:trPr>
        <w:tc>
          <w:tcPr>
            <w:tcW w:type="dxa" w:w="4680"/>
            <w:vAlign w:val="bottom"/>
            <w:tcMar>
              <w:bottom w:w="144" w:type="dxa"/>
            </w:tcMar>
          </w:tcPr>
          <w:p>
            <w:r>
              <w:t>Title: ___________________________</w:t>
            </w:r>
          </w:p>
        </w:tc>
        <w:tc>
          <w:tcPr>
            <w:tcW w:type="dxa" w:w="4680"/>
            <w:vAlign w:val="bottom"/>
            <w:tcMar>
              <w:bottom w:w="144" w:type="dxa"/>
            </w:tcMar>
          </w:tcPr>
          <w:p>
            <w:r>
              <w:t>Title: ___________________________</w:t>
            </w:r>
          </w:p>
        </w:tc>
      </w:tr>
      <w:tr>
        <w:trPr>
          <w:trHeight w:val="720"/>
        </w:trPr>
        <w:tc>
          <w:tcPr>
            <w:tcW w:type="dxa" w:w="4680"/>
            <w:vAlign w:val="bottom"/>
            <w:tcMar>
              <w:bottom w:w="144" w:type="dxa"/>
            </w:tcMar>
          </w:tcPr>
          <w:p>
            <w:r>
              <w:t>Signature: ___________________________</w:t>
            </w:r>
          </w:p>
        </w:tc>
        <w:tc>
          <w:tcPr>
            <w:tcW w:type="dxa" w:w="4680"/>
            <w:vAlign w:val="bottom"/>
            <w:tcMar>
              <w:bottom w:w="144" w:type="dxa"/>
            </w:tcMar>
          </w:tcPr>
          <w:p>
            <w:r>
              <w:t>Signature: ___________________________</w:t>
            </w:r>
          </w:p>
        </w:tc>
      </w:tr>
      <w:tr>
        <w:trPr>
          <w:trHeight w:val="720"/>
        </w:trPr>
        <w:tc>
          <w:tcPr>
            <w:tcW w:type="dxa" w:w="4680"/>
            <w:vAlign w:val="bottom"/>
            <w:tcMar>
              <w:bottom w:w="144" w:type="dxa"/>
            </w:tcMar>
          </w:tcPr>
          <w:p>
            <w:r>
              <w:t>Date: ___________________________</w:t>
            </w:r>
          </w:p>
        </w:tc>
        <w:tc>
          <w:tcPr>
            <w:tcW w:type="dxa" w:w="4680"/>
            <w:vAlign w:val="bottom"/>
            <w:tcMar>
              <w:bottom w:w="144" w:type="dxa"/>
            </w:tcMar>
          </w:tcPr>
          <w:p>
            <w:r>
              <w:t>Date: ___________________________</w:t>
            </w:r>
          </w:p>
        </w:tc>
      </w:tr>
    </w:tbl>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20">
        <w:r>
          <w:rPr>
            <w:rFonts w:ascii="Calibri" w:hAnsi="Calibri"/>
            <w:sz w:val="22"/>
            <w:color w:val="1F4E78"/>
          </w:rPr>
          <w:t>eoframework.org</w:t>
        </w:r>
      </w:hyperlink>
    </w:p>
    <w:sectPr w:rsidR="00517E5A"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B7C4B" w14:textId="77777777" w:rsidR="005A14E3" w:rsidRDefault="005A14E3">
      <w:pPr>
        <w:spacing w:after="0" w:line="240" w:lineRule="auto"/>
      </w:pPr>
      <w:r>
        <w:separator/>
      </w:r>
    </w:p>
  </w:endnote>
  <w:endnote w:type="continuationSeparator" w:id="0">
    <w:p w14:paraId="65C2C1FC" w14:textId="77777777" w:rsidR="005A14E3" w:rsidRDefault="005A1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07D64" w14:textId="77777777" w:rsidR="00A2441E" w:rsidRDefault="00A244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D0356" w14:textId="77777777" w:rsidR="00A2441E" w:rsidRDefault="00A244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E5A18" w14:textId="77777777" w:rsidR="005A14E3" w:rsidRDefault="005A14E3">
      <w:pPr>
        <w:spacing w:after="0" w:line="240" w:lineRule="auto"/>
      </w:pPr>
      <w:r>
        <w:separator/>
      </w:r>
    </w:p>
  </w:footnote>
  <w:footnote w:type="continuationSeparator" w:id="0">
    <w:p w14:paraId="39E48997" w14:textId="77777777" w:rsidR="005A14E3" w:rsidRDefault="005A14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EA612" w14:textId="77777777" w:rsidR="00A2441E" w:rsidRDefault="00A244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77777777" w:rsidR="00517E5A" w:rsidRDefault="00000000">
    <w:pPr>
      <w:pStyle w:val="Header"/>
    </w:pPr>
    <w:r>
      <w:rPr>
        <w:color w:val="808080"/>
        <w:sz w:val="24"/>
      </w:rPr>
      <w:t>Statement of Work</w:t>
    </w:r>
    <w:r>
      <w:tab/>
    </w:r>
    <w:r>
      <w:tab/>
    </w:r>
    <w:r>
      <w:rPr>
        <w:color w:val="808080"/>
        <w:sz w:val="24"/>
      </w:rPr>
      <w:t>NVIDIA - DGX SuperPOD AI Infrastructure Implementation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EDFE8" w14:textId="77777777" w:rsidR="00A2441E" w:rsidRDefault="00A244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DC1"/>
    <w:rsid w:val="0029639D"/>
    <w:rsid w:val="002D5501"/>
    <w:rsid w:val="00326F90"/>
    <w:rsid w:val="00517E5A"/>
    <w:rsid w:val="00541DC9"/>
    <w:rsid w:val="005A01BD"/>
    <w:rsid w:val="005A14E3"/>
    <w:rsid w:val="006C1B3B"/>
    <w:rsid w:val="00717007"/>
    <w:rsid w:val="007647BA"/>
    <w:rsid w:val="008E6583"/>
    <w:rsid w:val="0098338B"/>
    <w:rsid w:val="00A2441E"/>
    <w:rsid w:val="00AA1D8D"/>
    <w:rsid w:val="00B47730"/>
    <w:rsid w:val="00CB0664"/>
    <w:rsid w:val="00DF3F7F"/>
    <w:rsid w:val="00E45A90"/>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19" Type="http://schemas.openxmlformats.org/officeDocument/2006/relationships/image" Target="media/image4.png"/><Relationship Id="rId20" Type="http://schemas.openxmlformats.org/officeDocument/2006/relationships/hyperlink" Target="https://eoframework.org"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291</Words>
  <Characters>1721</Characters>
  <Application>Microsoft Office Word</Application>
  <DocSecurity>0</DocSecurity>
  <Lines>143</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7</cp:revision>
  <dcterms:created xsi:type="dcterms:W3CDTF">2013-12-23T23:15:00Z</dcterms:created>
  <dcterms:modified xsi:type="dcterms:W3CDTF">2025-11-21T18:52:00Z</dcterms:modified>
  <cp:category/>
</cp:coreProperties>
</file>