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left"/>
      </w:pPr>
      <w:r/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57600" cy="104502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sulting_company_log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04502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Title"/>
        <w:jc w:val="center"/>
      </w:pPr>
      <w:r>
        <w:t>Statement of Work</w:t>
      </w:r>
    </w:p>
    <w:p>
      <w:pPr>
        <w:jc w:val="center"/>
      </w:pPr>
      <w:r>
        <w:rPr>
          <w:rFonts w:ascii="Calibri" w:hAnsi="Calibri"/>
          <w:b/>
          <w:color w:val="5B6770"/>
          <w:sz w:val="40"/>
        </w:rPr>
        <w:t>Azure Virtual Desktop Implementation</w:t>
      </w:r>
    </w:p>
    <w:p/>
    <w:p/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6120"/>
      </w:tblGrid>
      <w:tr>
        <w:tc>
          <w:tcPr>
            <w:tcW w:type="dxa" w:w="2880"/>
            <w:shd w:fill="E8F0F8"/>
            <w:tcBorders>
              <w:left w:sz="1" w:val="single" w:color="CCCCCC" w:space="0"/>
              <w:top w:sz="1" w:val="single" w:color="CCCCCC" w:space="0"/>
              <w:right w:sz="1" w:val="single" w:color="CCCCCC" w:space="0"/>
              <w:bottom w:sz="1" w:val="single" w:color="CCCCCC" w:space="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80" w:after="80"/>
            </w:pPr>
            <w:r>
              <w:rPr>
                <w:rFonts w:ascii="Calibri" w:hAnsi="Calibri"/>
                <w:b/>
                <w:sz w:val="22"/>
              </w:rPr>
              <w:t>Client:</w:t>
            </w:r>
          </w:p>
        </w:tc>
        <w:tc>
          <w:tcPr>
            <w:tcW w:type="dxa" w:w="6120"/>
            <w:tcBorders>
              <w:left w:sz="1" w:val="single" w:color="CCCCCC" w:space="0"/>
              <w:top w:sz="1" w:val="single" w:color="CCCCCC" w:space="0"/>
              <w:right w:sz="1" w:val="single" w:color="CCCCCC" w:space="0"/>
              <w:bottom w:sz="1" w:val="single" w:color="CCCCCC" w:space="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t>'[Client Name]'</w:t>
            </w:r>
          </w:p>
        </w:tc>
      </w:tr>
      <w:tr>
        <w:tc>
          <w:tcPr>
            <w:tcW w:type="dxa" w:w="2880"/>
            <w:shd w:fill="E8F0F8"/>
            <w:tcBorders>
              <w:left w:sz="1" w:val="single" w:color="CCCCCC" w:space="0"/>
              <w:top w:sz="1" w:val="single" w:color="CCCCCC" w:space="0"/>
              <w:right w:sz="1" w:val="single" w:color="CCCCCC" w:space="0"/>
              <w:bottom w:sz="1" w:val="single" w:color="CCCCCC" w:space="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80" w:after="80"/>
            </w:pPr>
            <w:r>
              <w:rPr>
                <w:rFonts w:ascii="Calibri" w:hAnsi="Calibri"/>
                <w:b/>
                <w:sz w:val="22"/>
              </w:rPr>
              <w:t>Date:</w:t>
            </w:r>
          </w:p>
        </w:tc>
        <w:tc>
          <w:tcPr>
            <w:tcW w:type="dxa" w:w="6120"/>
            <w:tcBorders>
              <w:left w:sz="1" w:val="single" w:color="CCCCCC" w:space="0"/>
              <w:top w:sz="1" w:val="single" w:color="CCCCCC" w:space="0"/>
              <w:right w:sz="1" w:val="single" w:color="CCCCCC" w:space="0"/>
              <w:bottom w:sz="1" w:val="single" w:color="CCCCCC" w:space="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t>November 15, 2025</w:t>
            </w:r>
          </w:p>
        </w:tc>
      </w:tr>
      <w:tr>
        <w:tc>
          <w:tcPr>
            <w:tcW w:type="dxa" w:w="2880"/>
            <w:shd w:fill="E8F0F8"/>
            <w:tcBorders>
              <w:left w:sz="1" w:val="single" w:color="CCCCCC" w:space="0"/>
              <w:top w:sz="1" w:val="single" w:color="CCCCCC" w:space="0"/>
              <w:right w:sz="1" w:val="single" w:color="CCCCCC" w:space="0"/>
              <w:bottom w:sz="1" w:val="single" w:color="CCCCCC" w:space="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80" w:after="80"/>
            </w:pPr>
            <w:r>
              <w:rPr>
                <w:rFonts w:ascii="Calibri" w:hAnsi="Calibri"/>
                <w:b/>
                <w:sz w:val="22"/>
              </w:rPr>
              <w:t>Consulting Company:</w:t>
            </w:r>
          </w:p>
        </w:tc>
        <w:tc>
          <w:tcPr>
            <w:tcW w:type="dxa" w:w="6120"/>
            <w:tcBorders>
              <w:left w:sz="1" w:val="single" w:color="CCCCCC" w:space="0"/>
              <w:top w:sz="1" w:val="single" w:color="CCCCCC" w:space="0"/>
              <w:right w:sz="1" w:val="single" w:color="CCCCCC" w:space="0"/>
              <w:bottom w:sz="1" w:val="single" w:color="CCCCCC" w:space="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t>Your Consulting Company</w:t>
            </w:r>
          </w:p>
        </w:tc>
      </w:tr>
      <w:tr>
        <w:tc>
          <w:tcPr>
            <w:tcW w:type="dxa" w:w="2880"/>
            <w:shd w:fill="E8F0F8"/>
            <w:tcBorders>
              <w:left w:sz="1" w:val="single" w:color="CCCCCC" w:space="0"/>
              <w:top w:sz="1" w:val="single" w:color="CCCCCC" w:space="0"/>
              <w:right w:sz="1" w:val="single" w:color="CCCCCC" w:space="0"/>
              <w:bottom w:sz="1" w:val="single" w:color="CCCCCC" w:space="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80" w:after="80"/>
            </w:pPr>
            <w:r>
              <w:rPr>
                <w:rFonts w:ascii="Calibri" w:hAnsi="Calibri"/>
                <w:b/>
                <w:sz w:val="22"/>
              </w:rPr>
              <w:t>Submitted By:</w:t>
            </w:r>
          </w:p>
        </w:tc>
        <w:tc>
          <w:tcPr>
            <w:tcW w:type="dxa" w:w="6120"/>
            <w:tcBorders>
              <w:left w:sz="1" w:val="single" w:color="CCCCCC" w:space="0"/>
              <w:top w:sz="1" w:val="single" w:color="CCCCCC" w:space="0"/>
              <w:right w:sz="1" w:val="single" w:color="CCCCCC" w:space="0"/>
              <w:bottom w:sz="1" w:val="single" w:color="CCCCCC" w:space="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t>'[Consultant Name | Email | Phone]'</w:t>
            </w:r>
          </w:p>
        </w:tc>
      </w:tr>
      <w:tr>
        <w:tc>
          <w:tcPr>
            <w:tcW w:type="dxa" w:w="2880"/>
            <w:shd w:fill="E8F0F8"/>
            <w:tcBorders>
              <w:left w:sz="1" w:val="single" w:color="CCCCCC" w:space="0"/>
              <w:top w:sz="1" w:val="single" w:color="CCCCCC" w:space="0"/>
              <w:right w:sz="1" w:val="single" w:color="CCCCCC" w:space="0"/>
              <w:bottom w:sz="1" w:val="single" w:color="CCCCCC" w:space="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80" w:after="80"/>
            </w:pPr>
            <w:r>
              <w:rPr>
                <w:rFonts w:ascii="Calibri" w:hAnsi="Calibri"/>
                <w:b/>
                <w:sz w:val="22"/>
              </w:rPr>
              <w:t>Opportunity No:</w:t>
            </w:r>
          </w:p>
        </w:tc>
        <w:tc>
          <w:tcPr>
            <w:tcW w:type="dxa" w:w="6120"/>
            <w:tcBorders>
              <w:left w:sz="1" w:val="single" w:color="CCCCCC" w:space="0"/>
              <w:top w:sz="1" w:val="single" w:color="CCCCCC" w:space="0"/>
              <w:right w:sz="1" w:val="single" w:color="CCCCCC" w:space="0"/>
              <w:bottom w:sz="1" w:val="single" w:color="CCCCCC" w:space="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t>OPP-2025-001</w:t>
            </w:r>
          </w:p>
        </w:tc>
      </w:tr>
      <w:tr>
        <w:tc>
          <w:tcPr>
            <w:tcW w:type="dxa" w:w="2880"/>
            <w:shd w:fill="E8F0F8"/>
            <w:tcBorders>
              <w:left w:sz="1" w:val="single" w:color="CCCCCC" w:space="0"/>
              <w:top w:sz="1" w:val="single" w:color="CCCCCC" w:space="0"/>
              <w:right w:sz="1" w:val="single" w:color="CCCCCC" w:space="0"/>
              <w:bottom w:sz="1" w:val="single" w:color="CCCCCC" w:space="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80" w:after="80"/>
            </w:pPr>
            <w:r>
              <w:rPr>
                <w:rFonts w:ascii="Calibri" w:hAnsi="Calibri"/>
                <w:b/>
                <w:sz w:val="22"/>
              </w:rPr>
              <w:t>Version:</w:t>
            </w:r>
          </w:p>
        </w:tc>
        <w:tc>
          <w:tcPr>
            <w:tcW w:type="dxa" w:w="6120"/>
            <w:tcBorders>
              <w:left w:sz="1" w:val="single" w:color="CCCCCC" w:space="0"/>
              <w:top w:sz="1" w:val="single" w:color="CCCCCC" w:space="0"/>
              <w:right w:sz="1" w:val="single" w:color="CCCCCC" w:space="0"/>
              <w:bottom w:sz="1" w:val="single" w:color="CCCCCC" w:space="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t>'1.0'</w:t>
            </w:r>
          </w:p>
        </w:tc>
      </w:tr>
    </w:tbl>
    <w:p>
      <w:pPr>
        <w:jc w:val="center"/>
      </w:pPr>
      <w:r>
        <w:t xml:space="preserve"> </w:t>
      </w:r>
    </w:p>
    <w:p>
      <w:r>
        <w:br w:type="page"/>
      </w:r>
    </w:p>
    <w:p/>
    <w:p>
      <w:pPr>
        <w:pStyle w:val="Heading1"/>
        <w:spacing w:after="60"/>
      </w:pPr>
      <w:r>
        <w:t>Table of Contents</w:t>
      </w:r>
    </w:p>
    <w:p/>
    <w:p>
      <w:pPr>
        <w:spacing w:line="276" w:lineRule="auto" w:before="60" w:after="60"/>
      </w:pPr>
      <w:r>
        <w:fldChar w:fldCharType="begin"/>
        <w:instrText xml:space="preserve">TOC \o "1-3" \h \z \u</w:instrText>
        <w:fldChar w:fldCharType="separate"/>
      </w:r>
      <w:r>
        <w:rPr>
          <w:rFonts w:ascii="Calibri" w:hAnsi="Calibri"/>
          <w:sz w:val="22"/>
        </w:rPr>
        <w:t>1 Introduction</w:t>
      </w:r>
      <w:r>
        <w:br/>
      </w:r>
      <w:r>
        <w:rPr>
          <w:rFonts w:ascii="Calibri" w:hAnsi="Calibri"/>
          <w:sz w:val="22"/>
        </w:rPr>
        <w:t xml:space="preserve">    1.1 Purpose</w:t>
      </w:r>
      <w:r>
        <w:br/>
      </w:r>
      <w:r>
        <w:rPr>
          <w:rFonts w:ascii="Calibri" w:hAnsi="Calibri"/>
          <w:sz w:val="22"/>
        </w:rPr>
        <w:t xml:space="preserve">        1.1.1 Scope</w:t>
      </w:r>
      <w:r>
        <w:br/>
      </w:r>
      <w:r>
        <w:rPr>
          <w:rFonts w:ascii="Calibri" w:hAnsi="Calibri"/>
          <w:sz w:val="22"/>
        </w:rPr>
        <w:t>2 Table Content</w:t>
      </w:r>
      <w:r>
        <w:br/>
      </w:r>
      <w:r>
        <w:rPr>
          <w:rFonts w:ascii="Calibri" w:hAnsi="Calibri"/>
          <w:sz w:val="22"/>
        </w:rPr>
        <w:t>3 Image Section</w:t>
      </w:r>
      <w:r>
        <w:br/>
      </w:r>
      <w:r>
        <w:rPr>
          <w:rFonts w:ascii="Calibri" w:hAnsi="Calibri"/>
          <w:sz w:val="22"/>
        </w:rPr>
        <w:t>4 Additional Content</w:t>
      </w:r>
      <w:r>
        <w:br/>
      </w:r>
      <w:r>
        <w:rPr>
          <w:rFonts w:ascii="Calibri" w:hAnsi="Calibri"/>
          <w:sz w:val="22"/>
        </w:rPr>
        <w:t>5 Sign-Off</w:t>
      </w:r>
      <w:r>
        <w:fldChar w:fldCharType="end"/>
      </w:r>
    </w:p>
    <w:p>
      <w:r>
        <w:br w:type="page"/>
      </w:r>
    </w:p>
    <w:p/>
    <w:p>
      <w:pPr>
        <w:pStyle w:val="Heading1"/>
        <w:spacing w:after="60" w:before="120"/>
      </w:pPr>
      <w:r>
        <w:t>List of Figures</w:t>
      </w:r>
    </w:p>
    <w:p>
      <w:pPr/>
      <w:r>
        <w:fldChar w:fldCharType="begin"/>
      </w:r>
      <w:r>
        <w:instrText xml:space="preserve"> TOC \h \z \c "Figure" </w:instrText>
      </w:r>
      <w:r>
        <w:fldChar w:fldCharType="separate"/>
      </w:r>
      <w:r>
        <w:rPr>
          <w:rFonts w:ascii="Calibri" w:hAnsi="Calibri"/>
          <w:sz w:val="24"/>
        </w:rPr>
        <w:t>Figure 1: Architecture Diagram</w:t>
        <w:tab/>
        <w:t>11</w:t>
      </w:r>
      <w:r>
        <w:fldChar w:fldCharType="end"/>
      </w:r>
    </w:p>
    <w:p>
      <w:pPr>
        <w:pStyle w:val="Heading1"/>
        <w:spacing w:after="60" w:before="120"/>
      </w:pPr>
      <w:r>
        <w:t>List of Tables</w:t>
      </w:r>
    </w:p>
    <w:p>
      <w:pPr/>
      <w:r>
        <w:fldChar w:fldCharType="begin"/>
      </w:r>
      <w:r>
        <w:instrText xml:space="preserve"> TOC \h \z \c "Table" </w:instrText>
      </w:r>
      <w:r>
        <w:fldChar w:fldCharType="separate"/>
      </w:r>
      <w:r>
        <w:rPr>
          <w:rFonts w:ascii="Calibri" w:hAnsi="Calibri"/>
          <w:sz w:val="24"/>
        </w:rPr>
        <w:t>Table 1: Engagement Scope Parameters</w:t>
        <w:tab/>
        <w:t>3</w:t>
        <w:br/>
      </w:r>
      <w:r>
        <w:rPr>
          <w:rFonts w:ascii="Calibri" w:hAnsi="Calibri"/>
          <w:sz w:val="24"/>
        </w:rPr>
        <w:t>Table 2: Project Milestones</w:t>
        <w:tab/>
        <w:t>4</w:t>
        <w:br/>
      </w:r>
      <w:r>
        <w:rPr>
          <w:rFonts w:ascii="Calibri" w:hAnsi="Calibri"/>
          <w:sz w:val="24"/>
        </w:rPr>
        <w:t>Table 3: Project Deliverables and Acceptance Criteria</w:t>
        <w:tab/>
        <w:t>5</w:t>
        <w:br/>
      </w:r>
      <w:r>
        <w:rPr>
          <w:rFonts w:ascii="Calibri" w:hAnsi="Calibri"/>
          <w:sz w:val="24"/>
        </w:rPr>
        <w:t>Table 4: Roles and Responsibilities (RACI Matrix)</w:t>
        <w:tab/>
        <w:t>6</w:t>
        <w:br/>
      </w:r>
      <w:r>
        <w:rPr>
          <w:rFonts w:ascii="Calibri" w:hAnsi="Calibri"/>
          <w:sz w:val="24"/>
        </w:rPr>
        <w:t>Table 5: Investment Summary</w:t>
        <w:tab/>
        <w:t>7</w:t>
      </w:r>
      <w:r>
        <w:fldChar w:fldCharType="end"/>
      </w:r>
    </w:p>
    <w:p>
      <w:r>
        <w:br w:type="page"/>
      </w:r>
    </w:p>
    <w:p>
      <w:pPr>
        <w:pStyle w:val="Heading1"/>
        <w:spacing w:before="160" w:after="120"/>
        <w:ind w:left="0" w:firstLine="0"/>
      </w:pPr>
      <w:r>
        <w:t>1 Executive Summary</w:t>
      </w:r>
    </w:p>
    <w:p>
      <w:pPr>
        <w:spacing w:after="160"/>
      </w:pPr>
      <w:r>
        <w:rPr>
          <w:rFonts w:ascii="Calibri" w:hAnsi="Calibri"/>
          <w:sz w:val="22"/>
        </w:rPr>
        <w:t xml:space="preserve">This Statement of Work defines the scope, deliverables, timeline, and terms for the </w:t>
      </w:r>
      <w:r>
        <w:rPr>
          <w:rFonts w:ascii="Calibri" w:hAnsi="Calibri"/>
          <w:b/>
          <w:sz w:val="22"/>
        </w:rPr>
        <w:t>Azure Virtual Desktop</w:t>
      </w:r>
      <w:r>
        <w:rPr>
          <w:rFonts w:ascii="Calibri" w:hAnsi="Calibri"/>
          <w:sz w:val="22"/>
        </w:rPr>
        <w:t xml:space="preserve"> implementation. This engagement will transform your organization's capabilities by delivering a comprehensive, enterprise-grade solution designed to meet your specific business requirements.</w:t>
      </w:r>
    </w:p>
    <w:p>
      <w:pPr>
        <w:spacing w:after="160"/>
      </w:pPr>
      <w:r>
        <w:rPr>
          <w:rFonts w:ascii="Calibri" w:hAnsi="Calibri"/>
          <w:b/>
          <w:sz w:val="22"/>
        </w:rPr>
        <w:t>Project Duration:</w:t>
      </w:r>
      <w:r>
        <w:rPr>
          <w:rFonts w:ascii="Calibri" w:hAnsi="Calibri"/>
          <w:sz w:val="22"/>
        </w:rPr>
        <w:t xml:space="preserve"> 12 weeks (as detailed in Timeline &amp; Milestones section)</w:t>
      </w:r>
    </w:p>
    <w:p>
      <w:pPr>
        <w:spacing w:after="160"/>
      </w:pPr>
      <w:r>
        <w:rPr>
          <w:rFonts w:ascii="Calibri" w:hAnsi="Calibri"/>
          <w:b/>
          <w:sz w:val="22"/>
        </w:rPr>
        <w:t>Key Objectives:</w:t>
      </w:r>
    </w:p>
    <w:p>
      <w:pPr>
        <w:spacing w:after="80"/>
        <w:ind w:left="720" w:hanging="360"/>
      </w:pPr>
      <w:r>
        <w:rPr>
          <w:rFonts w:ascii="Calibri" w:hAnsi="Calibri"/>
          <w:sz w:val="22"/>
        </w:rPr>
        <w:t xml:space="preserve">• </w:t>
      </w:r>
      <w:r>
        <w:rPr>
          <w:rFonts w:ascii="Calibri" w:hAnsi="Calibri"/>
          <w:sz w:val="22"/>
        </w:rPr>
        <w:t>Deploy and configure Azure Virtual Desktop according to best practices</w:t>
      </w:r>
    </w:p>
    <w:p>
      <w:pPr>
        <w:spacing w:after="80"/>
        <w:ind w:left="720" w:hanging="360"/>
      </w:pPr>
      <w:r>
        <w:rPr>
          <w:rFonts w:ascii="Calibri" w:hAnsi="Calibri"/>
          <w:sz w:val="22"/>
        </w:rPr>
        <w:t xml:space="preserve">• </w:t>
      </w:r>
      <w:r>
        <w:rPr>
          <w:rFonts w:ascii="Calibri" w:hAnsi="Calibri"/>
          <w:sz w:val="22"/>
        </w:rPr>
        <w:t>Integrate with existing enterprise systems and workflows</w:t>
      </w:r>
    </w:p>
    <w:p>
      <w:pPr>
        <w:spacing w:after="80"/>
        <w:ind w:left="720" w:hanging="360"/>
      </w:pPr>
      <w:r>
        <w:rPr>
          <w:rFonts w:ascii="Calibri" w:hAnsi="Calibri"/>
          <w:sz w:val="22"/>
        </w:rPr>
        <w:t xml:space="preserve">• </w:t>
      </w:r>
      <w:r>
        <w:rPr>
          <w:rFonts w:ascii="Calibri" w:hAnsi="Calibri"/>
          <w:sz w:val="22"/>
        </w:rPr>
        <w:t>Train technical staff on operations and management</w:t>
      </w:r>
    </w:p>
    <w:p>
      <w:pPr>
        <w:spacing w:after="80"/>
        <w:ind w:left="720" w:hanging="360"/>
      </w:pPr>
      <w:r>
        <w:rPr>
          <w:rFonts w:ascii="Calibri" w:hAnsi="Calibri"/>
          <w:sz w:val="22"/>
        </w:rPr>
        <w:t xml:space="preserve">• </w:t>
      </w:r>
      <w:r>
        <w:rPr>
          <w:rFonts w:ascii="Calibri" w:hAnsi="Calibri"/>
          <w:sz w:val="22"/>
        </w:rPr>
        <w:t>Achieve defined success metrics and business outcomes</w:t>
      </w:r>
    </w:p>
    <w:p>
      <w:pPr>
        <w:pStyle w:val="Heading1"/>
        <w:spacing w:before="160" w:after="120"/>
        <w:ind w:left="0" w:firstLine="0"/>
      </w:pPr>
      <w:r>
        <w:t>2 Background &amp; Objectives</w:t>
      </w:r>
    </w:p>
    <w:p>
      <w:pPr>
        <w:pStyle w:val="Heading2"/>
        <w:spacing w:before="240" w:after="120"/>
        <w:ind w:left="0" w:firstLine="0"/>
      </w:pPr>
      <w:r>
        <w:t>2.1 Business Context</w:t>
      </w:r>
    </w:p>
    <w:p>
      <w:pPr>
        <w:spacing w:after="160"/>
      </w:pPr>
      <w:r>
        <w:rPr>
          <w:rFonts w:ascii="Calibri" w:hAnsi="Calibri"/>
          <w:b/>
          <w:sz w:val="22"/>
        </w:rPr>
        <w:t>layout:</w:t>
      </w:r>
      <w:r>
        <w:rPr>
          <w:rFonts w:ascii="Calibri" w:hAnsi="Calibri"/>
          <w:sz w:val="22"/>
        </w:rPr>
        <w:t xml:space="preserve"> two_column</w:t>
      </w:r>
    </w:p>
    <w:p>
      <w:pPr>
        <w:spacing w:after="160"/>
      </w:pPr>
      <w:r>
        <w:rPr>
          <w:rFonts w:ascii="Calibri" w:hAnsi="Calibri"/>
          <w:b/>
          <w:sz w:val="22"/>
        </w:rPr>
        <w:t>Transforming Workforce Mobility with Azure Virtual Desktop</w:t>
      </w:r>
    </w:p>
    <w:p>
      <w:pPr>
        <w:spacing w:after="80"/>
        <w:ind w:left="720" w:hanging="360"/>
      </w:pPr>
      <w:r>
        <w:rPr>
          <w:rFonts w:ascii="Calibri" w:hAnsi="Calibri"/>
          <w:sz w:val="22"/>
        </w:rPr>
        <w:t xml:space="preserve">• </w:t>
      </w:r>
      <w:r>
        <w:rPr>
          <w:rFonts w:ascii="Calibri" w:hAnsi="Calibri"/>
          <w:b/>
          <w:sz w:val="22"/>
        </w:rPr>
        <w:t>Opportunity</w:t>
      </w:r>
    </w:p>
    <w:p>
      <w:pPr>
        <w:spacing w:after="80"/>
        <w:ind w:left="720" w:hanging="360"/>
      </w:pPr>
      <w:r>
        <w:rPr>
          <w:rFonts w:ascii="Calibri" w:hAnsi="Calibri"/>
          <w:sz w:val="22"/>
        </w:rPr>
        <w:t xml:space="preserve">• </w:t>
      </w:r>
      <w:r>
        <w:rPr>
          <w:rFonts w:ascii="Calibri" w:hAnsi="Calibri"/>
          <w:sz w:val="22"/>
        </w:rPr>
        <w:t>Enable hybrid and remote workforce without compromising security or performance</w:t>
      </w:r>
    </w:p>
    <w:p>
      <w:pPr>
        <w:spacing w:after="80"/>
        <w:ind w:left="720" w:hanging="360"/>
      </w:pPr>
      <w:r>
        <w:rPr>
          <w:rFonts w:ascii="Calibri" w:hAnsi="Calibri"/>
          <w:sz w:val="22"/>
        </w:rPr>
        <w:t xml:space="preserve">• </w:t>
      </w:r>
      <w:r>
        <w:rPr>
          <w:rFonts w:ascii="Calibri" w:hAnsi="Calibri"/>
          <w:sz w:val="22"/>
        </w:rPr>
        <w:t>Reduce infrastructure costs by 30-40% compared to traditional VDI and physical desktops</w:t>
      </w:r>
    </w:p>
    <w:p>
      <w:pPr>
        <w:spacing w:after="80"/>
        <w:ind w:left="720" w:hanging="360"/>
      </w:pPr>
      <w:r>
        <w:rPr>
          <w:rFonts w:ascii="Calibri" w:hAnsi="Calibri"/>
          <w:sz w:val="22"/>
        </w:rPr>
        <w:t xml:space="preserve">• </w:t>
      </w:r>
      <w:r>
        <w:rPr>
          <w:rFonts w:ascii="Calibri" w:hAnsi="Calibri"/>
          <w:sz w:val="22"/>
        </w:rPr>
        <w:t>Modernize desktop management with cloud-based administration and simplified operations</w:t>
      </w:r>
    </w:p>
    <w:p>
      <w:pPr>
        <w:spacing w:after="160"/>
      </w:pPr>
      <w:r>
        <w:rPr>
          <w:rFonts w:ascii="Calibri" w:hAnsi="Calibri"/>
          <w:b/>
          <w:sz w:val="22"/>
        </w:rPr>
        <w:t>Success Criteria</w:t>
      </w:r>
    </w:p>
    <w:p>
      <w:pPr>
        <w:spacing w:after="80"/>
        <w:ind w:left="720" w:hanging="360"/>
      </w:pPr>
      <w:r>
        <w:rPr>
          <w:rFonts w:ascii="Calibri" w:hAnsi="Calibri"/>
          <w:sz w:val="22"/>
        </w:rPr>
        <w:t xml:space="preserve">• </w:t>
      </w:r>
      <w:r>
        <w:rPr>
          <w:rFonts w:ascii="Calibri" w:hAnsi="Calibri"/>
          <w:sz w:val="22"/>
        </w:rPr>
        <w:t>100% user adoption with minimal support calls through intuitive experience</w:t>
      </w:r>
    </w:p>
    <w:p>
      <w:pPr>
        <w:spacing w:after="80"/>
        <w:ind w:left="720" w:hanging="360"/>
      </w:pPr>
      <w:r>
        <w:rPr>
          <w:rFonts w:ascii="Calibri" w:hAnsi="Calibri"/>
          <w:sz w:val="22"/>
        </w:rPr>
        <w:t xml:space="preserve">• </w:t>
      </w:r>
      <w:r>
        <w:rPr>
          <w:rFonts w:ascii="Calibri" w:hAnsi="Calibri"/>
          <w:sz w:val="22"/>
        </w:rPr>
        <w:t>20-30% reduction in IT operational costs through cloud-based management</w:t>
      </w:r>
    </w:p>
    <w:p>
      <w:pPr>
        <w:spacing w:after="80"/>
        <w:ind w:left="720" w:hanging="360"/>
      </w:pPr>
      <w:r>
        <w:rPr>
          <w:rFonts w:ascii="Calibri" w:hAnsi="Calibri"/>
          <w:sz w:val="22"/>
        </w:rPr>
        <w:t xml:space="preserve">• </w:t>
      </w:r>
      <w:r>
        <w:rPr>
          <w:rFonts w:ascii="Calibri" w:hAnsi="Calibri"/>
          <w:sz w:val="22"/>
        </w:rPr>
        <w:t>ROI realization within 18-24 months through infrastructure consolidation and labor savings</w:t>
      </w:r>
    </w:p>
    <w:p>
      <w:pPr>
        <w:pStyle w:val="Heading1"/>
        <w:spacing w:before="160" w:after="120"/>
        <w:ind w:left="0" w:firstLine="0"/>
      </w:pPr>
      <w:r>
        <w:t>3 Scope of Work</w:t>
      </w:r>
    </w:p>
    <w:p>
      <w:pPr>
        <w:pStyle w:val="Heading2"/>
        <w:spacing w:before="240" w:after="120"/>
        <w:ind w:left="0" w:firstLine="0"/>
      </w:pPr>
      <w:r>
        <w:t>3.1 In Scope</w:t>
      </w:r>
    </w:p>
    <w:p>
      <w:pPr>
        <w:spacing w:after="160"/>
      </w:pPr>
      <w:r>
        <w:rPr>
          <w:rFonts w:ascii="Calibri" w:hAnsi="Calibri"/>
          <w:b/>
          <w:sz w:val="22"/>
        </w:rPr>
        <w:t>layout:</w:t>
      </w:r>
      <w:r>
        <w:rPr>
          <w:rFonts w:ascii="Calibri" w:hAnsi="Calibri"/>
          <w:sz w:val="22"/>
        </w:rPr>
        <w:t xml:space="preserve"> single</w:t>
      </w:r>
    </w:p>
    <w:p>
      <w:pPr>
        <w:spacing w:after="160"/>
      </w:pPr>
      <w:r>
        <w:rPr>
          <w:rFonts w:ascii="Calibri" w:hAnsi="Calibri"/>
          <w:b/>
          <w:sz w:val="22"/>
        </w:rPr>
        <w:t>Proven Methodology for Azure Virtual Desktop Success</w:t>
      </w:r>
    </w:p>
    <w:p>
      <w:pPr>
        <w:spacing w:after="80"/>
        <w:ind w:left="720" w:hanging="360"/>
      </w:pPr>
      <w:r>
        <w:rPr>
          <w:rFonts w:ascii="Calibri" w:hAnsi="Calibri"/>
          <w:sz w:val="22"/>
        </w:rPr>
        <w:t xml:space="preserve">• </w:t>
      </w:r>
      <w:r>
        <w:rPr>
          <w:rFonts w:ascii="Calibri" w:hAnsi="Calibri"/>
          <w:b/>
          <w:sz w:val="22"/>
        </w:rPr>
        <w:t>Phase 1: Discovery &amp; Planning (Weeks 1-2)</w:t>
      </w:r>
    </w:p>
    <w:p>
      <w:pPr>
        <w:spacing w:after="80"/>
        <w:ind w:left="720" w:hanging="360"/>
      </w:pPr>
      <w:r>
        <w:rPr>
          <w:rFonts w:ascii="Calibri" w:hAnsi="Calibri"/>
          <w:sz w:val="22"/>
        </w:rPr>
        <w:t xml:space="preserve">• </w:t>
      </w:r>
      <w:r>
        <w:rPr>
          <w:rFonts w:ascii="Calibri" w:hAnsi="Calibri"/>
          <w:sz w:val="22"/>
        </w:rPr>
        <w:t>Assess current environment and user requirements</w:t>
      </w:r>
    </w:p>
    <w:p>
      <w:pPr>
        <w:spacing w:after="80"/>
        <w:ind w:left="720" w:hanging="360"/>
      </w:pPr>
      <w:r>
        <w:rPr>
          <w:rFonts w:ascii="Calibri" w:hAnsi="Calibri"/>
          <w:sz w:val="22"/>
        </w:rPr>
        <w:t xml:space="preserve">• </w:t>
      </w:r>
      <w:r>
        <w:rPr>
          <w:rFonts w:ascii="Calibri" w:hAnsi="Calibri"/>
          <w:sz w:val="22"/>
        </w:rPr>
        <w:t>Design AVD architecture with security and performance considerations</w:t>
      </w:r>
    </w:p>
    <w:p>
      <w:pPr>
        <w:spacing w:after="80"/>
        <w:ind w:left="720" w:hanging="360"/>
      </w:pPr>
      <w:r>
        <w:rPr>
          <w:rFonts w:ascii="Calibri" w:hAnsi="Calibri"/>
          <w:sz w:val="22"/>
        </w:rPr>
        <w:t xml:space="preserve">• </w:t>
      </w:r>
      <w:r>
        <w:rPr>
          <w:rFonts w:ascii="Calibri" w:hAnsi="Calibri"/>
          <w:sz w:val="22"/>
        </w:rPr>
        <w:t>Plan network connectivity and application compatibility validation</w:t>
      </w:r>
    </w:p>
    <w:p>
      <w:pPr>
        <w:spacing w:after="160"/>
      </w:pPr>
      <w:r>
        <w:rPr>
          <w:rFonts w:ascii="Calibri" w:hAnsi="Calibri"/>
          <w:b/>
          <w:sz w:val="22"/>
        </w:rPr>
        <w:t>Phase 2: Infrastructure Deployment (Weeks 3-5)</w:t>
      </w:r>
    </w:p>
    <w:p>
      <w:pPr>
        <w:spacing w:after="80"/>
        <w:ind w:left="720" w:hanging="360"/>
      </w:pPr>
      <w:r>
        <w:rPr>
          <w:rFonts w:ascii="Calibri" w:hAnsi="Calibri"/>
          <w:sz w:val="22"/>
        </w:rPr>
        <w:t xml:space="preserve">• </w:t>
      </w:r>
      <w:r>
        <w:rPr>
          <w:rFonts w:ascii="Calibri" w:hAnsi="Calibri"/>
          <w:sz w:val="22"/>
        </w:rPr>
        <w:t>Deploy Azure Virtual Network and identity infrastructure</w:t>
      </w:r>
    </w:p>
    <w:p>
      <w:pPr>
        <w:spacing w:after="80"/>
        <w:ind w:left="720" w:hanging="360"/>
      </w:pPr>
      <w:r>
        <w:rPr>
          <w:rFonts w:ascii="Calibri" w:hAnsi="Calibri"/>
          <w:sz w:val="22"/>
        </w:rPr>
        <w:t xml:space="preserve">• </w:t>
      </w:r>
      <w:r>
        <w:rPr>
          <w:rFonts w:ascii="Calibri" w:hAnsi="Calibri"/>
          <w:sz w:val="22"/>
        </w:rPr>
        <w:t>Configure D4s_v5 session hosts with Windows 11 Multi-Session</w:t>
      </w:r>
    </w:p>
    <w:p>
      <w:pPr>
        <w:spacing w:after="80"/>
        <w:ind w:left="720" w:hanging="360"/>
      </w:pPr>
      <w:r>
        <w:rPr>
          <w:rFonts w:ascii="Calibri" w:hAnsi="Calibri"/>
          <w:sz w:val="22"/>
        </w:rPr>
        <w:t xml:space="preserve">• </w:t>
      </w:r>
      <w:r>
        <w:rPr>
          <w:rFonts w:ascii="Calibri" w:hAnsi="Calibri"/>
          <w:sz w:val="22"/>
        </w:rPr>
        <w:t>Set up Azure Files Premium and FSLogix profile containers</w:t>
      </w:r>
    </w:p>
    <w:p>
      <w:pPr>
        <w:spacing w:after="160"/>
      </w:pPr>
      <w:r>
        <w:rPr>
          <w:rFonts w:ascii="Calibri" w:hAnsi="Calibri"/>
          <w:b/>
          <w:sz w:val="22"/>
        </w:rPr>
        <w:t>Phase 3: Application Deployment, Migration &amp; Hypercare (Weeks 6-10)</w:t>
      </w:r>
    </w:p>
    <w:p>
      <w:pPr>
        <w:spacing w:after="80"/>
        <w:ind w:left="720" w:hanging="360"/>
      </w:pPr>
      <w:r>
        <w:rPr>
          <w:rFonts w:ascii="Calibri" w:hAnsi="Calibri"/>
          <w:sz w:val="22"/>
        </w:rPr>
        <w:t xml:space="preserve">• </w:t>
      </w:r>
      <w:r>
        <w:rPr>
          <w:rFonts w:ascii="Calibri" w:hAnsi="Calibri"/>
          <w:sz w:val="22"/>
        </w:rPr>
        <w:t>Deploy Microsoft 365 and critical business applications with UAT validation</w:t>
      </w:r>
    </w:p>
    <w:p>
      <w:pPr>
        <w:spacing w:after="80"/>
        <w:ind w:left="720" w:hanging="360"/>
      </w:pPr>
      <w:r>
        <w:rPr>
          <w:rFonts w:ascii="Calibri" w:hAnsi="Calibri"/>
          <w:sz w:val="22"/>
        </w:rPr>
        <w:t xml:space="preserve">• </w:t>
      </w:r>
      <w:r>
        <w:rPr>
          <w:rFonts w:ascii="Calibri" w:hAnsi="Calibri"/>
          <w:sz w:val="22"/>
        </w:rPr>
        <w:t>Migrate users in waves to new AVD environment with application testing</w:t>
      </w:r>
    </w:p>
    <w:p>
      <w:pPr>
        <w:spacing w:after="80"/>
        <w:ind w:left="720" w:hanging="360"/>
      </w:pPr>
      <w:r>
        <w:rPr>
          <w:rFonts w:ascii="Calibri" w:hAnsi="Calibri"/>
          <w:sz w:val="22"/>
        </w:rPr>
        <w:t xml:space="preserve">• </w:t>
      </w:r>
      <w:r>
        <w:rPr>
          <w:rFonts w:ascii="Calibri" w:hAnsi="Calibri"/>
          <w:sz w:val="22"/>
        </w:rPr>
        <w:t>Provide 30-day hypercare support and transition to operations team</w:t>
      </w:r>
    </w:p>
    <w:p>
      <w:pPr>
        <w:pStyle w:val="Heading3"/>
        <w:spacing w:before="160" w:after="120"/>
        <w:ind w:left="0" w:firstLine="0"/>
      </w:pPr>
      <w:r>
        <w:t>3.1.1 Scope Parameters</w:t>
      </w:r>
    </w:p>
    <w:p>
      <w:pPr>
        <w:spacing w:after="120"/>
      </w:pPr>
      <w:r>
        <w:rPr>
          <w:rFonts w:ascii="Calibri" w:hAnsi="Calibri"/>
          <w:sz w:val="22"/>
        </w:rPr>
        <w:t>This engagement is sized based on the following parameters:</w:t>
      </w:r>
    </w:p>
    <w:p>
      <w:pPr>
        <w:spacing w:after="160"/>
      </w:pPr>
      <w:r>
        <w:rPr>
          <w:rFonts w:ascii="Calibri" w:hAnsi="Calibri"/>
          <w:i/>
          <w:sz w:val="22"/>
        </w:rPr>
        <w:t>Note: Changes to these parameters may require scope adjustment and additional investment.</w:t>
      </w:r>
    </w:p>
    <w:p>
      <w:pPr>
        <w:pStyle w:val="Heading2"/>
        <w:spacing w:before="240" w:after="120"/>
        <w:ind w:left="0" w:firstLine="0"/>
      </w:pPr>
      <w:r>
        <w:t>3.2 Out of Scope</w:t>
      </w:r>
    </w:p>
    <w:p>
      <w:pPr>
        <w:spacing w:after="160"/>
      </w:pPr>
      <w:r>
        <w:rPr>
          <w:rFonts w:ascii="Calibri" w:hAnsi="Calibri"/>
          <w:sz w:val="22"/>
        </w:rPr>
        <w:t>These items are not in scope unless added via change control:</w:t>
      </w:r>
    </w:p>
    <w:p>
      <w:pPr>
        <w:spacing w:after="80"/>
        <w:ind w:left="720" w:hanging="360"/>
      </w:pPr>
      <w:r>
        <w:rPr>
          <w:rFonts w:ascii="Calibri" w:hAnsi="Calibri"/>
          <w:sz w:val="22"/>
        </w:rPr>
        <w:t xml:space="preserve">• </w:t>
      </w:r>
      <w:r>
        <w:rPr>
          <w:rFonts w:ascii="Calibri" w:hAnsi="Calibri"/>
          <w:sz w:val="22"/>
        </w:rPr>
        <w:t>Custom development beyond standard configuration</w:t>
      </w:r>
    </w:p>
    <w:p>
      <w:pPr>
        <w:spacing w:after="80"/>
        <w:ind w:left="720" w:hanging="360"/>
      </w:pPr>
      <w:r>
        <w:rPr>
          <w:rFonts w:ascii="Calibri" w:hAnsi="Calibri"/>
          <w:sz w:val="22"/>
        </w:rPr>
        <w:t xml:space="preserve">• </w:t>
      </w:r>
      <w:r>
        <w:rPr>
          <w:rFonts w:ascii="Calibri" w:hAnsi="Calibri"/>
          <w:sz w:val="22"/>
        </w:rPr>
        <w:t>Third-party application licensing (unless specified)</w:t>
      </w:r>
    </w:p>
    <w:p>
      <w:pPr>
        <w:spacing w:after="80"/>
        <w:ind w:left="720" w:hanging="360"/>
      </w:pPr>
      <w:r>
        <w:rPr>
          <w:rFonts w:ascii="Calibri" w:hAnsi="Calibri"/>
          <w:sz w:val="22"/>
        </w:rPr>
        <w:t xml:space="preserve">• </w:t>
      </w:r>
      <w:r>
        <w:rPr>
          <w:rFonts w:ascii="Calibri" w:hAnsi="Calibri"/>
          <w:sz w:val="22"/>
        </w:rPr>
        <w:t>Hardware procurement or disposal</w:t>
      </w:r>
    </w:p>
    <w:p>
      <w:pPr>
        <w:spacing w:after="80"/>
        <w:ind w:left="720" w:hanging="360"/>
      </w:pPr>
      <w:r>
        <w:rPr>
          <w:rFonts w:ascii="Calibri" w:hAnsi="Calibri"/>
          <w:sz w:val="22"/>
        </w:rPr>
        <w:t xml:space="preserve">• </w:t>
      </w:r>
      <w:r>
        <w:rPr>
          <w:rFonts w:ascii="Calibri" w:hAnsi="Calibri"/>
          <w:sz w:val="22"/>
        </w:rPr>
        <w:t>End-user training (technical team only)</w:t>
      </w:r>
    </w:p>
    <w:p>
      <w:pPr>
        <w:spacing w:after="80"/>
        <w:ind w:left="720" w:hanging="360"/>
      </w:pPr>
      <w:r>
        <w:rPr>
          <w:rFonts w:ascii="Calibri" w:hAnsi="Calibri"/>
          <w:sz w:val="22"/>
        </w:rPr>
        <w:t xml:space="preserve">• </w:t>
      </w:r>
      <w:r>
        <w:rPr>
          <w:rFonts w:ascii="Calibri" w:hAnsi="Calibri"/>
          <w:sz w:val="22"/>
        </w:rPr>
        <w:t>Ongoing managed services post-hypercare</w:t>
      </w:r>
    </w:p>
    <w:p>
      <w:pPr>
        <w:pStyle w:val="Heading1"/>
        <w:spacing w:before="160" w:after="120"/>
        <w:ind w:left="0" w:firstLine="0"/>
      </w:pPr>
      <w:r>
        <w:t>4 Deliverables &amp; Timeline</w:t>
      </w:r>
    </w:p>
    <w:p>
      <w:pPr>
        <w:pStyle w:val="Heading2"/>
        <w:spacing w:before="240" w:after="120"/>
        <w:ind w:left="0" w:firstLine="0"/>
      </w:pPr>
      <w:r>
        <w:t>4.1 Project Milestones</w:t>
      </w:r>
    </w:p>
    <w:p>
      <w:pPr>
        <w:spacing w:after="120"/>
      </w:pPr>
      <w:r>
        <w:rPr>
          <w:rFonts w:ascii="Calibri" w:hAnsi="Calibri"/>
          <w:sz w:val="22"/>
        </w:rPr>
        <w:t>**layout:** table</w:t>
      </w:r>
    </w:p>
    <w:p>
      <w:pPr>
        <w:spacing w:after="120"/>
      </w:pPr>
      <w:r>
        <w:rPr>
          <w:rFonts w:ascii="Calibri" w:hAnsi="Calibri"/>
          <w:sz w:val="22"/>
        </w:rPr>
        <w:t>**Path to Modern Workplace Delivery**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66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</w:pPr>
            <w:r>
              <w:rPr>
                <w:rFonts w:ascii="Calibri" w:hAnsi="Calibri"/>
                <w:b/>
                <w:sz w:val="22"/>
              </w:rPr>
              <w:t>Phase No</w:t>
            </w:r>
          </w:p>
        </w:tc>
        <w:tc>
          <w:tcPr>
            <w:tcW w:type="dxa" w:w="2899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</w:pPr>
            <w:r>
              <w:rPr>
                <w:rFonts w:ascii="Calibri" w:hAnsi="Calibri"/>
                <w:b/>
                <w:sz w:val="22"/>
              </w:rPr>
              <w:t>Phase Description</w:t>
            </w:r>
          </w:p>
        </w:tc>
        <w:tc>
          <w:tcPr>
            <w:tcW w:type="dxa" w:w="2899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</w:pPr>
            <w:r>
              <w:rPr>
                <w:rFonts w:ascii="Calibri" w:hAnsi="Calibri"/>
                <w:b/>
                <w:sz w:val="22"/>
              </w:rPr>
              <w:t>Timeline</w:t>
            </w:r>
          </w:p>
        </w:tc>
        <w:tc>
          <w:tcPr>
            <w:tcW w:type="dxa" w:w="2899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</w:pPr>
            <w:r>
              <w:rPr>
                <w:rFonts w:ascii="Calibri" w:hAnsi="Calibri"/>
                <w:b/>
                <w:sz w:val="22"/>
              </w:rPr>
              <w:t>Key Deliverables</w:t>
            </w:r>
          </w:p>
        </w:tc>
      </w:tr>
      <w:tr>
        <w:tc>
          <w:tcPr>
            <w:tcW w:type="dxa" w:w="66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2"/>
              </w:rPr>
              <w:t>Phase 1</w:t>
            </w:r>
          </w:p>
        </w:tc>
        <w:tc>
          <w:tcPr>
            <w:tcW w:type="dxa" w:w="2899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2"/>
              </w:rPr>
              <w:t>Discovery &amp; Planning</w:t>
            </w:r>
          </w:p>
        </w:tc>
        <w:tc>
          <w:tcPr>
            <w:tcW w:type="dxa" w:w="2899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2"/>
              </w:rPr>
              <w:t>Weeks 1-2</w:t>
            </w:r>
          </w:p>
        </w:tc>
        <w:tc>
          <w:tcPr>
            <w:tcW w:type="dxa" w:w="2899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2"/>
              </w:rPr>
              <w:t>Requirements validated, Architecture designed, Project plan approved</w:t>
            </w:r>
          </w:p>
        </w:tc>
      </w:tr>
      <w:tr>
        <w:tc>
          <w:tcPr>
            <w:tcW w:type="dxa" w:w="66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2"/>
              </w:rPr>
              <w:t>Phase 2</w:t>
            </w:r>
          </w:p>
        </w:tc>
        <w:tc>
          <w:tcPr>
            <w:tcW w:type="dxa" w:w="2899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2"/>
              </w:rPr>
              <w:t>Infrastructure Deployment</w:t>
            </w:r>
          </w:p>
        </w:tc>
        <w:tc>
          <w:tcPr>
            <w:tcW w:type="dxa" w:w="2899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2"/>
              </w:rPr>
              <w:t>Weeks 3-5</w:t>
            </w:r>
          </w:p>
        </w:tc>
        <w:tc>
          <w:tcPr>
            <w:tcW w:type="dxa" w:w="2899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2"/>
              </w:rPr>
              <w:t>Azure networking live, Session hosts operational, FSLogix configured</w:t>
            </w:r>
          </w:p>
        </w:tc>
      </w:tr>
      <w:tr>
        <w:tc>
          <w:tcPr>
            <w:tcW w:type="dxa" w:w="66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2"/>
              </w:rPr>
              <w:t>Phase 3</w:t>
            </w:r>
          </w:p>
        </w:tc>
        <w:tc>
          <w:tcPr>
            <w:tcW w:type="dxa" w:w="2899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2"/>
              </w:rPr>
              <w:t>Application Deployment, Migration &amp; Hypercare</w:t>
            </w:r>
          </w:p>
        </w:tc>
        <w:tc>
          <w:tcPr>
            <w:tcW w:type="dxa" w:w="2899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2"/>
              </w:rPr>
              <w:t>Weeks 6-10</w:t>
            </w:r>
          </w:p>
        </w:tc>
        <w:tc>
          <w:tcPr>
            <w:tcW w:type="dxa" w:w="2899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2"/>
              </w:rPr>
              <w:t>Applications deployed, Users migrated in waves, 30-day hypercare support</w:t>
            </w:r>
          </w:p>
        </w:tc>
      </w:tr>
    </w:tbl>
    <w:p>
      <w:pPr>
        <w:pStyle w:val="Caption"/>
        <w:spacing w:before="60" w:after="240"/>
        <w:jc w:val="center"/>
      </w:pPr>
      <w:r>
        <w:rPr>
          <w:rFonts w:ascii="Calibri" w:hAnsi="Calibri"/>
          <w:sz w:val="24"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rFonts w:ascii="Calibri" w:hAnsi="Calibri"/>
          <w:sz w:val="24"/>
        </w:rPr>
        <w:t>2</w:t>
      </w:r>
      <w:r>
        <w:fldChar w:fldCharType="end"/>
      </w:r>
      <w:r>
        <w:rPr>
          <w:rFonts w:ascii="Calibri" w:hAnsi="Calibri"/>
          <w:sz w:val="24"/>
        </w:rPr>
        <w:t>: Project Milestones</w:t>
      </w:r>
    </w:p>
    <w:p>
      <w:pPr>
        <w:pStyle w:val="Heading2"/>
        <w:spacing w:before="240" w:after="120"/>
        <w:ind w:left="0" w:firstLine="0"/>
      </w:pPr>
      <w:r>
        <w:t>4.2 Key Deliverables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749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</w:pPr>
            <w:r>
              <w:rPr>
                <w:rFonts w:ascii="Calibri" w:hAnsi="Calibri"/>
                <w:b/>
                <w:sz w:val="22"/>
              </w:rPr>
              <w:t>#</w:t>
            </w:r>
          </w:p>
        </w:tc>
        <w:tc>
          <w:tcPr>
            <w:tcW w:type="dxa" w:w="327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</w:pPr>
            <w:r>
              <w:rPr>
                <w:rFonts w:ascii="Calibri" w:hAnsi="Calibri"/>
                <w:b/>
                <w:sz w:val="22"/>
              </w:rPr>
              <w:t>Deliverable</w:t>
            </w:r>
          </w:p>
        </w:tc>
        <w:tc>
          <w:tcPr>
            <w:tcW w:type="dxa" w:w="141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</w:pPr>
            <w:r>
              <w:rPr>
                <w:rFonts w:ascii="Calibri" w:hAnsi="Calibri"/>
                <w:b/>
                <w:sz w:val="22"/>
              </w:rPr>
              <w:t>Type</w:t>
            </w:r>
          </w:p>
        </w:tc>
        <w:tc>
          <w:tcPr>
            <w:tcW w:type="dxa" w:w="141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</w:pPr>
            <w:r>
              <w:rPr>
                <w:rFonts w:ascii="Calibri" w:hAnsi="Calibri"/>
                <w:b/>
                <w:sz w:val="22"/>
              </w:rPr>
              <w:t>Due Date</w:t>
            </w:r>
          </w:p>
        </w:tc>
        <w:tc>
          <w:tcPr>
            <w:tcW w:type="dxa" w:w="250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</w:pPr>
            <w:r>
              <w:rPr>
                <w:rFonts w:ascii="Calibri" w:hAnsi="Calibri"/>
                <w:b/>
                <w:sz w:val="22"/>
              </w:rPr>
              <w:t>Acceptance By</w:t>
            </w:r>
          </w:p>
        </w:tc>
      </w:tr>
      <w:tr>
        <w:tc>
          <w:tcPr>
            <w:tcW w:type="dxa" w:w="749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2"/>
              </w:rPr>
              <w:t>1</w:t>
            </w:r>
          </w:p>
        </w:tc>
        <w:tc>
          <w:tcPr>
            <w:tcW w:type="dxa" w:w="327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2"/>
              </w:rPr>
              <w:t>Solution Architecture Document</w:t>
            </w:r>
          </w:p>
        </w:tc>
        <w:tc>
          <w:tcPr>
            <w:tcW w:type="dxa" w:w="141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2"/>
              </w:rPr>
              <w:t>Document</w:t>
            </w:r>
          </w:p>
        </w:tc>
        <w:tc>
          <w:tcPr>
            <w:tcW w:type="dxa" w:w="141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2"/>
              </w:rPr>
              <w:t>Week 4</w:t>
            </w:r>
          </w:p>
        </w:tc>
        <w:tc>
          <w:tcPr>
            <w:tcW w:type="dxa" w:w="250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2"/>
              </w:rPr>
              <w:t>Client IT Lead</w:t>
            </w:r>
          </w:p>
        </w:tc>
      </w:tr>
      <w:tr>
        <w:tc>
          <w:tcPr>
            <w:tcW w:type="dxa" w:w="749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2"/>
              </w:rPr>
              <w:t>2</w:t>
            </w:r>
          </w:p>
        </w:tc>
        <w:tc>
          <w:tcPr>
            <w:tcW w:type="dxa" w:w="327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2"/>
              </w:rPr>
              <w:t>Configuration Runbook</w:t>
            </w:r>
          </w:p>
        </w:tc>
        <w:tc>
          <w:tcPr>
            <w:tcW w:type="dxa" w:w="141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2"/>
              </w:rPr>
              <w:t>Document</w:t>
            </w:r>
          </w:p>
        </w:tc>
        <w:tc>
          <w:tcPr>
            <w:tcW w:type="dxa" w:w="141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2"/>
              </w:rPr>
              <w:t>Week 8</w:t>
            </w:r>
          </w:p>
        </w:tc>
        <w:tc>
          <w:tcPr>
            <w:tcW w:type="dxa" w:w="250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2"/>
              </w:rPr>
              <w:t>Operations Team</w:t>
            </w:r>
          </w:p>
        </w:tc>
      </w:tr>
      <w:tr>
        <w:tc>
          <w:tcPr>
            <w:tcW w:type="dxa" w:w="749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2"/>
              </w:rPr>
              <w:t>3</w:t>
            </w:r>
          </w:p>
        </w:tc>
        <w:tc>
          <w:tcPr>
            <w:tcW w:type="dxa" w:w="327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2"/>
              </w:rPr>
              <w:t>Test Results Report</w:t>
            </w:r>
          </w:p>
        </w:tc>
        <w:tc>
          <w:tcPr>
            <w:tcW w:type="dxa" w:w="141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2"/>
              </w:rPr>
              <w:t>Document</w:t>
            </w:r>
          </w:p>
        </w:tc>
        <w:tc>
          <w:tcPr>
            <w:tcW w:type="dxa" w:w="141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2"/>
              </w:rPr>
              <w:t>Week 10</w:t>
            </w:r>
          </w:p>
        </w:tc>
        <w:tc>
          <w:tcPr>
            <w:tcW w:type="dxa" w:w="250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2"/>
              </w:rPr>
              <w:t>QA Lead</w:t>
            </w:r>
          </w:p>
        </w:tc>
      </w:tr>
      <w:tr>
        <w:tc>
          <w:tcPr>
            <w:tcW w:type="dxa" w:w="749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2"/>
              </w:rPr>
              <w:t>4</w:t>
            </w:r>
          </w:p>
        </w:tc>
        <w:tc>
          <w:tcPr>
            <w:tcW w:type="dxa" w:w="327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2"/>
              </w:rPr>
              <w:t>As-Built Documentation</w:t>
            </w:r>
          </w:p>
        </w:tc>
        <w:tc>
          <w:tcPr>
            <w:tcW w:type="dxa" w:w="141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2"/>
              </w:rPr>
              <w:t>Document</w:t>
            </w:r>
          </w:p>
        </w:tc>
        <w:tc>
          <w:tcPr>
            <w:tcW w:type="dxa" w:w="141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2"/>
              </w:rPr>
              <w:t>Week 12</w:t>
            </w:r>
          </w:p>
        </w:tc>
        <w:tc>
          <w:tcPr>
            <w:tcW w:type="dxa" w:w="250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2"/>
              </w:rPr>
              <w:t>Client IT Lead</w:t>
            </w:r>
          </w:p>
        </w:tc>
      </w:tr>
      <w:tr>
        <w:tc>
          <w:tcPr>
            <w:tcW w:type="dxa" w:w="749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2"/>
              </w:rPr>
              <w:t>5</w:t>
            </w:r>
          </w:p>
        </w:tc>
        <w:tc>
          <w:tcPr>
            <w:tcW w:type="dxa" w:w="327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2"/>
              </w:rPr>
              <w:t>Knowledge Transfer Sessions</w:t>
            </w:r>
          </w:p>
        </w:tc>
        <w:tc>
          <w:tcPr>
            <w:tcW w:type="dxa" w:w="141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2"/>
              </w:rPr>
              <w:t>Training</w:t>
            </w:r>
          </w:p>
        </w:tc>
        <w:tc>
          <w:tcPr>
            <w:tcW w:type="dxa" w:w="141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2"/>
              </w:rPr>
              <w:t>Week 12</w:t>
            </w:r>
          </w:p>
        </w:tc>
        <w:tc>
          <w:tcPr>
            <w:tcW w:type="dxa" w:w="250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2"/>
              </w:rPr>
              <w:t>Technical Team</w:t>
            </w:r>
          </w:p>
        </w:tc>
      </w:tr>
    </w:tbl>
    <w:p>
      <w:pPr>
        <w:pStyle w:val="Caption"/>
        <w:spacing w:before="60" w:after="240"/>
        <w:jc w:val="center"/>
      </w:pPr>
      <w:r>
        <w:rPr>
          <w:rFonts w:ascii="Calibri" w:hAnsi="Calibri"/>
          <w:sz w:val="24"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rFonts w:ascii="Calibri" w:hAnsi="Calibri"/>
          <w:sz w:val="24"/>
        </w:rPr>
        <w:t>3</w:t>
      </w:r>
      <w:r>
        <w:fldChar w:fldCharType="end"/>
      </w:r>
      <w:r>
        <w:rPr>
          <w:rFonts w:ascii="Calibri" w:hAnsi="Calibri"/>
          <w:sz w:val="24"/>
        </w:rPr>
        <w:t>: Project Deliverables and Acceptance Criteria</w:t>
      </w:r>
    </w:p>
    <w:p>
      <w:pPr>
        <w:pStyle w:val="Heading1"/>
        <w:spacing w:before="160" w:after="120"/>
        <w:ind w:left="0" w:firstLine="0"/>
      </w:pPr>
      <w:r>
        <w:t>5 Roles &amp; Responsibilities</w:t>
      </w:r>
    </w:p>
    <w:p>
      <w:pPr>
        <w:pStyle w:val="Heading2"/>
        <w:spacing w:before="240" w:after="120"/>
        <w:ind w:left="0" w:firstLine="0"/>
      </w:pPr>
      <w:r>
        <w:t>5.1 RACI Matrix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939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</w:pPr>
            <w:r>
              <w:rPr>
                <w:rFonts w:ascii="Calibri" w:hAnsi="Calibri"/>
                <w:b/>
                <w:sz w:val="22"/>
              </w:rPr>
              <w:t>Task/Deliverable</w:t>
            </w:r>
          </w:p>
        </w:tc>
        <w:tc>
          <w:tcPr>
            <w:tcW w:type="dxa" w:w="1137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</w:pPr>
            <w:r>
              <w:rPr>
                <w:rFonts w:ascii="Calibri" w:hAnsi="Calibri"/>
                <w:b/>
                <w:sz w:val="22"/>
              </w:rPr>
              <w:t>Vendor PM</w:t>
            </w:r>
          </w:p>
        </w:tc>
        <w:tc>
          <w:tcPr>
            <w:tcW w:type="dxa" w:w="1137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</w:pPr>
            <w:r>
              <w:rPr>
                <w:rFonts w:ascii="Calibri" w:hAnsi="Calibri"/>
                <w:b/>
                <w:sz w:val="22"/>
              </w:rPr>
              <w:t>Vendor Arch</w:t>
            </w:r>
          </w:p>
        </w:tc>
        <w:tc>
          <w:tcPr>
            <w:tcW w:type="dxa" w:w="1137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</w:pPr>
            <w:r>
              <w:rPr>
                <w:rFonts w:ascii="Calibri" w:hAnsi="Calibri"/>
                <w:b/>
                <w:sz w:val="22"/>
              </w:rPr>
              <w:t>Vendor Eng</w:t>
            </w:r>
          </w:p>
        </w:tc>
        <w:tc>
          <w:tcPr>
            <w:tcW w:type="dxa" w:w="1337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</w:pPr>
            <w:r>
              <w:rPr>
                <w:rFonts w:ascii="Calibri" w:hAnsi="Calibri"/>
                <w:b/>
                <w:sz w:val="22"/>
              </w:rPr>
              <w:t>Client IT</w:t>
            </w:r>
          </w:p>
        </w:tc>
        <w:tc>
          <w:tcPr>
            <w:tcW w:type="dxa" w:w="1337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</w:pPr>
            <w:r>
              <w:rPr>
                <w:rFonts w:ascii="Calibri" w:hAnsi="Calibri"/>
                <w:b/>
                <w:sz w:val="22"/>
              </w:rPr>
              <w:t>Client Mgmt</w:t>
            </w:r>
          </w:p>
        </w:tc>
        <w:tc>
          <w:tcPr>
            <w:tcW w:type="dxa" w:w="1337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</w:pPr>
            <w:r>
              <w:rPr>
                <w:rFonts w:ascii="Calibri" w:hAnsi="Calibri"/>
                <w:b/>
                <w:sz w:val="22"/>
              </w:rPr>
              <w:t>SME</w:t>
            </w:r>
          </w:p>
        </w:tc>
      </w:tr>
      <w:tr>
        <w:tc>
          <w:tcPr>
            <w:tcW w:type="dxa" w:w="1939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2"/>
              </w:rPr>
              <w:t>Solution Architecture</w:t>
            </w:r>
          </w:p>
        </w:tc>
        <w:tc>
          <w:tcPr>
            <w:tcW w:type="dxa" w:w="1137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2"/>
              </w:rPr>
              <w:t>C</w:t>
            </w:r>
          </w:p>
        </w:tc>
        <w:tc>
          <w:tcPr>
            <w:tcW w:type="dxa" w:w="1137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2"/>
              </w:rPr>
              <w:t>A</w:t>
            </w:r>
          </w:p>
        </w:tc>
        <w:tc>
          <w:tcPr>
            <w:tcW w:type="dxa" w:w="1137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2"/>
              </w:rPr>
              <w:t>R</w:t>
            </w:r>
          </w:p>
        </w:tc>
        <w:tc>
          <w:tcPr>
            <w:tcW w:type="dxa" w:w="1337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2"/>
              </w:rPr>
              <w:t>C</w:t>
            </w:r>
          </w:p>
        </w:tc>
        <w:tc>
          <w:tcPr>
            <w:tcW w:type="dxa" w:w="1337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2"/>
              </w:rPr>
              <w:t>I</w:t>
            </w:r>
          </w:p>
        </w:tc>
        <w:tc>
          <w:tcPr>
            <w:tcW w:type="dxa" w:w="1337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2"/>
              </w:rPr>
              <w:t>C</w:t>
            </w:r>
          </w:p>
        </w:tc>
      </w:tr>
      <w:tr>
        <w:tc>
          <w:tcPr>
            <w:tcW w:type="dxa" w:w="1939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2"/>
              </w:rPr>
              <w:t>Infrastructure Setup</w:t>
            </w:r>
          </w:p>
        </w:tc>
        <w:tc>
          <w:tcPr>
            <w:tcW w:type="dxa" w:w="1137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2"/>
              </w:rPr>
              <w:t>C</w:t>
            </w:r>
          </w:p>
        </w:tc>
        <w:tc>
          <w:tcPr>
            <w:tcW w:type="dxa" w:w="1137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2"/>
              </w:rPr>
              <w:t>R</w:t>
            </w:r>
          </w:p>
        </w:tc>
        <w:tc>
          <w:tcPr>
            <w:tcW w:type="dxa" w:w="1137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2"/>
              </w:rPr>
              <w:t>R</w:t>
            </w:r>
          </w:p>
        </w:tc>
        <w:tc>
          <w:tcPr>
            <w:tcW w:type="dxa" w:w="1337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2"/>
              </w:rPr>
              <w:t>C</w:t>
            </w:r>
          </w:p>
        </w:tc>
        <w:tc>
          <w:tcPr>
            <w:tcW w:type="dxa" w:w="1337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2"/>
              </w:rPr>
              <w:t>I</w:t>
            </w:r>
          </w:p>
        </w:tc>
        <w:tc>
          <w:tcPr>
            <w:tcW w:type="dxa" w:w="1337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2"/>
              </w:rPr>
              <w:t>I</w:t>
            </w:r>
          </w:p>
        </w:tc>
      </w:tr>
      <w:tr>
        <w:tc>
          <w:tcPr>
            <w:tcW w:type="dxa" w:w="1939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2"/>
              </w:rPr>
              <w:t>Configuration &amp; Tuning</w:t>
            </w:r>
          </w:p>
        </w:tc>
        <w:tc>
          <w:tcPr>
            <w:tcW w:type="dxa" w:w="1137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2"/>
              </w:rPr>
              <w:t>A</w:t>
            </w:r>
          </w:p>
        </w:tc>
        <w:tc>
          <w:tcPr>
            <w:tcW w:type="dxa" w:w="1137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2"/>
              </w:rPr>
              <w:t>R</w:t>
            </w:r>
          </w:p>
        </w:tc>
        <w:tc>
          <w:tcPr>
            <w:tcW w:type="dxa" w:w="1137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2"/>
              </w:rPr>
              <w:t>R</w:t>
            </w:r>
          </w:p>
        </w:tc>
        <w:tc>
          <w:tcPr>
            <w:tcW w:type="dxa" w:w="1337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2"/>
              </w:rPr>
              <w:t>C</w:t>
            </w:r>
          </w:p>
        </w:tc>
        <w:tc>
          <w:tcPr>
            <w:tcW w:type="dxa" w:w="1337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2"/>
              </w:rPr>
              <w:t>I</w:t>
            </w:r>
          </w:p>
        </w:tc>
        <w:tc>
          <w:tcPr>
            <w:tcW w:type="dxa" w:w="1337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2"/>
              </w:rPr>
              <w:t>I</w:t>
            </w:r>
          </w:p>
        </w:tc>
      </w:tr>
      <w:tr>
        <w:tc>
          <w:tcPr>
            <w:tcW w:type="dxa" w:w="1939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2"/>
              </w:rPr>
              <w:t>Integration Development</w:t>
            </w:r>
          </w:p>
        </w:tc>
        <w:tc>
          <w:tcPr>
            <w:tcW w:type="dxa" w:w="1137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2"/>
              </w:rPr>
              <w:t>C</w:t>
            </w:r>
          </w:p>
        </w:tc>
        <w:tc>
          <w:tcPr>
            <w:tcW w:type="dxa" w:w="1137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2"/>
              </w:rPr>
              <w:t>A</w:t>
            </w:r>
          </w:p>
        </w:tc>
        <w:tc>
          <w:tcPr>
            <w:tcW w:type="dxa" w:w="1137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2"/>
              </w:rPr>
              <w:t>R</w:t>
            </w:r>
          </w:p>
        </w:tc>
        <w:tc>
          <w:tcPr>
            <w:tcW w:type="dxa" w:w="1337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2"/>
              </w:rPr>
              <w:t>C</w:t>
            </w:r>
          </w:p>
        </w:tc>
        <w:tc>
          <w:tcPr>
            <w:tcW w:type="dxa" w:w="1337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2"/>
              </w:rPr>
              <w:t>I</w:t>
            </w:r>
          </w:p>
        </w:tc>
        <w:tc>
          <w:tcPr>
            <w:tcW w:type="dxa" w:w="1337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2"/>
              </w:rPr>
              <w:t>I</w:t>
            </w:r>
          </w:p>
        </w:tc>
      </w:tr>
      <w:tr>
        <w:tc>
          <w:tcPr>
            <w:tcW w:type="dxa" w:w="1939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2"/>
              </w:rPr>
              <w:t>Testing &amp; Validation</w:t>
            </w:r>
          </w:p>
        </w:tc>
        <w:tc>
          <w:tcPr>
            <w:tcW w:type="dxa" w:w="1137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2"/>
              </w:rPr>
              <w:t>R</w:t>
            </w:r>
          </w:p>
        </w:tc>
        <w:tc>
          <w:tcPr>
            <w:tcW w:type="dxa" w:w="1137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2"/>
              </w:rPr>
              <w:t>R</w:t>
            </w:r>
          </w:p>
        </w:tc>
        <w:tc>
          <w:tcPr>
            <w:tcW w:type="dxa" w:w="1137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2"/>
              </w:rPr>
              <w:t>R</w:t>
            </w:r>
          </w:p>
        </w:tc>
        <w:tc>
          <w:tcPr>
            <w:tcW w:type="dxa" w:w="1337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2"/>
              </w:rPr>
              <w:t>A</w:t>
            </w:r>
          </w:p>
        </w:tc>
        <w:tc>
          <w:tcPr>
            <w:tcW w:type="dxa" w:w="1337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2"/>
              </w:rPr>
              <w:t>I</w:t>
            </w:r>
          </w:p>
        </w:tc>
        <w:tc>
          <w:tcPr>
            <w:tcW w:type="dxa" w:w="1337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2"/>
              </w:rPr>
              <w:t>C</w:t>
            </w:r>
          </w:p>
        </w:tc>
      </w:tr>
      <w:tr>
        <w:tc>
          <w:tcPr>
            <w:tcW w:type="dxa" w:w="1939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2"/>
              </w:rPr>
              <w:t>Knowledge Transfer</w:t>
            </w:r>
          </w:p>
        </w:tc>
        <w:tc>
          <w:tcPr>
            <w:tcW w:type="dxa" w:w="1137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2"/>
              </w:rPr>
              <w:t>R</w:t>
            </w:r>
          </w:p>
        </w:tc>
        <w:tc>
          <w:tcPr>
            <w:tcW w:type="dxa" w:w="1137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2"/>
              </w:rPr>
              <w:t>R</w:t>
            </w:r>
          </w:p>
        </w:tc>
        <w:tc>
          <w:tcPr>
            <w:tcW w:type="dxa" w:w="1137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2"/>
              </w:rPr>
              <w:t>C</w:t>
            </w:r>
          </w:p>
        </w:tc>
        <w:tc>
          <w:tcPr>
            <w:tcW w:type="dxa" w:w="1337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2"/>
              </w:rPr>
              <w:t>A</w:t>
            </w:r>
          </w:p>
        </w:tc>
        <w:tc>
          <w:tcPr>
            <w:tcW w:type="dxa" w:w="1337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2"/>
              </w:rPr>
              <w:t>I</w:t>
            </w:r>
          </w:p>
        </w:tc>
        <w:tc>
          <w:tcPr>
            <w:tcW w:type="dxa" w:w="1337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2"/>
              </w:rPr>
              <w:t>I</w:t>
            </w:r>
          </w:p>
        </w:tc>
      </w:tr>
      <w:tr>
        <w:tc>
          <w:tcPr>
            <w:tcW w:type="dxa" w:w="1939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2"/>
              </w:rPr>
              <w:t>Project Management</w:t>
            </w:r>
          </w:p>
        </w:tc>
        <w:tc>
          <w:tcPr>
            <w:tcW w:type="dxa" w:w="1137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2"/>
              </w:rPr>
              <w:t>A</w:t>
            </w:r>
          </w:p>
        </w:tc>
        <w:tc>
          <w:tcPr>
            <w:tcW w:type="dxa" w:w="1137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2"/>
              </w:rPr>
              <w:t>I</w:t>
            </w:r>
          </w:p>
        </w:tc>
        <w:tc>
          <w:tcPr>
            <w:tcW w:type="dxa" w:w="1137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2"/>
              </w:rPr>
              <w:t>I</w:t>
            </w:r>
          </w:p>
        </w:tc>
        <w:tc>
          <w:tcPr>
            <w:tcW w:type="dxa" w:w="1337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2"/>
              </w:rPr>
              <w:t>C</w:t>
            </w:r>
          </w:p>
        </w:tc>
        <w:tc>
          <w:tcPr>
            <w:tcW w:type="dxa" w:w="1337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2"/>
              </w:rPr>
              <w:t>R</w:t>
            </w:r>
          </w:p>
        </w:tc>
        <w:tc>
          <w:tcPr>
            <w:tcW w:type="dxa" w:w="1337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2"/>
              </w:rPr>
              <w:t>I</w:t>
            </w:r>
          </w:p>
        </w:tc>
      </w:tr>
    </w:tbl>
    <w:p>
      <w:pPr>
        <w:pStyle w:val="Caption"/>
        <w:spacing w:before="60" w:after="240"/>
        <w:jc w:val="center"/>
      </w:pPr>
      <w:r>
        <w:rPr>
          <w:rFonts w:ascii="Calibri" w:hAnsi="Calibri"/>
          <w:sz w:val="24"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rFonts w:ascii="Calibri" w:hAnsi="Calibri"/>
          <w:sz w:val="24"/>
        </w:rPr>
        <w:t>4</w:t>
      </w:r>
      <w:r>
        <w:fldChar w:fldCharType="end"/>
      </w:r>
      <w:r>
        <w:rPr>
          <w:rFonts w:ascii="Calibri" w:hAnsi="Calibri"/>
          <w:sz w:val="24"/>
        </w:rPr>
        <w:t>: Roles and Responsibilities (RACI Matrix)</w:t>
      </w:r>
    </w:p>
    <w:p>
      <w:pPr>
        <w:spacing w:after="160"/>
      </w:pPr>
      <w:r>
        <w:rPr>
          <w:rFonts w:ascii="Calibri" w:hAnsi="Calibri"/>
          <w:b/>
          <w:sz w:val="22"/>
        </w:rPr>
        <w:t>Legend:</w:t>
      </w:r>
      <w:r>
        <w:rPr>
          <w:rFonts w:ascii="Calibri" w:hAnsi="Calibri"/>
          <w:sz w:val="22"/>
        </w:rPr>
        <w:t xml:space="preserve"> R = Responsible | A = Accountable | C = Consulted | I = Informed</w:t>
      </w:r>
    </w:p>
    <w:p>
      <w:pPr>
        <w:pStyle w:val="Heading2"/>
        <w:spacing w:before="240" w:after="120"/>
        <w:ind w:left="0" w:firstLine="0"/>
      </w:pPr>
      <w:r>
        <w:t>5.2 Key Personnel</w:t>
      </w:r>
    </w:p>
    <w:p>
      <w:pPr>
        <w:spacing w:after="160"/>
      </w:pPr>
      <w:r>
        <w:rPr>
          <w:rFonts w:ascii="Calibri" w:hAnsi="Calibri"/>
          <w:b/>
          <w:sz w:val="22"/>
        </w:rPr>
        <w:t>Vendor Team:</w:t>
      </w:r>
    </w:p>
    <w:p>
      <w:pPr>
        <w:spacing w:after="80"/>
        <w:ind w:left="720" w:hanging="360"/>
      </w:pPr>
      <w:r>
        <w:rPr>
          <w:rFonts w:ascii="Calibri" w:hAnsi="Calibri"/>
          <w:sz w:val="22"/>
        </w:rPr>
        <w:t xml:space="preserve">• </w:t>
      </w:r>
      <w:r>
        <w:rPr>
          <w:rFonts w:ascii="Calibri" w:hAnsi="Calibri"/>
          <w:sz w:val="22"/>
        </w:rPr>
        <w:t>Project Manager: Overall delivery accountability</w:t>
      </w:r>
    </w:p>
    <w:p>
      <w:pPr>
        <w:spacing w:after="80"/>
        <w:ind w:left="720" w:hanging="360"/>
      </w:pPr>
      <w:r>
        <w:rPr>
          <w:rFonts w:ascii="Calibri" w:hAnsi="Calibri"/>
          <w:sz w:val="22"/>
        </w:rPr>
        <w:t xml:space="preserve">• </w:t>
      </w:r>
      <w:r>
        <w:rPr>
          <w:rFonts w:ascii="Calibri" w:hAnsi="Calibri"/>
          <w:sz w:val="22"/>
        </w:rPr>
        <w:t>Solution Architect: Technical design and oversight</w:t>
      </w:r>
    </w:p>
    <w:p>
      <w:pPr>
        <w:spacing w:after="80"/>
        <w:ind w:left="720" w:hanging="360"/>
      </w:pPr>
      <w:r>
        <w:rPr>
          <w:rFonts w:ascii="Calibri" w:hAnsi="Calibri"/>
          <w:sz w:val="22"/>
        </w:rPr>
        <w:t xml:space="preserve">• </w:t>
      </w:r>
      <w:r>
        <w:rPr>
          <w:rFonts w:ascii="Calibri" w:hAnsi="Calibri"/>
          <w:sz w:val="22"/>
        </w:rPr>
        <w:t>Engineers: Implementation and configuration</w:t>
      </w:r>
    </w:p>
    <w:p>
      <w:pPr>
        <w:spacing w:after="80"/>
        <w:ind w:left="720" w:hanging="360"/>
      </w:pPr>
      <w:r>
        <w:rPr>
          <w:rFonts w:ascii="Calibri" w:hAnsi="Calibri"/>
          <w:sz w:val="22"/>
        </w:rPr>
        <w:t xml:space="preserve">• </w:t>
      </w:r>
      <w:r>
        <w:rPr>
          <w:rFonts w:ascii="Calibri" w:hAnsi="Calibri"/>
          <w:sz w:val="22"/>
        </w:rPr>
        <w:t>Support Specialist: Training and hypercare</w:t>
      </w:r>
    </w:p>
    <w:p>
      <w:pPr>
        <w:spacing w:after="160"/>
      </w:pPr>
      <w:r>
        <w:rPr>
          <w:rFonts w:ascii="Calibri" w:hAnsi="Calibri"/>
          <w:b/>
          <w:sz w:val="22"/>
        </w:rPr>
        <w:t>Client Team:</w:t>
      </w:r>
    </w:p>
    <w:p>
      <w:pPr>
        <w:spacing w:after="80"/>
        <w:ind w:left="720" w:hanging="360"/>
      </w:pPr>
      <w:r>
        <w:rPr>
          <w:rFonts w:ascii="Calibri" w:hAnsi="Calibri"/>
          <w:sz w:val="22"/>
        </w:rPr>
        <w:t xml:space="preserve">• </w:t>
      </w:r>
      <w:r>
        <w:rPr>
          <w:rFonts w:ascii="Calibri" w:hAnsi="Calibri"/>
          <w:sz w:val="22"/>
        </w:rPr>
        <w:t>IT Lead: Primary technical contact</w:t>
      </w:r>
    </w:p>
    <w:p>
      <w:pPr>
        <w:spacing w:after="80"/>
        <w:ind w:left="720" w:hanging="360"/>
      </w:pPr>
      <w:r>
        <w:rPr>
          <w:rFonts w:ascii="Calibri" w:hAnsi="Calibri"/>
          <w:sz w:val="22"/>
        </w:rPr>
        <w:t xml:space="preserve">• </w:t>
      </w:r>
      <w:r>
        <w:rPr>
          <w:rFonts w:ascii="Calibri" w:hAnsi="Calibri"/>
          <w:sz w:val="22"/>
        </w:rPr>
        <w:t>Management Sponsor: Executive oversight</w:t>
      </w:r>
    </w:p>
    <w:p>
      <w:pPr>
        <w:spacing w:after="80"/>
        <w:ind w:left="720" w:hanging="360"/>
      </w:pPr>
      <w:r>
        <w:rPr>
          <w:rFonts w:ascii="Calibri" w:hAnsi="Calibri"/>
          <w:sz w:val="22"/>
        </w:rPr>
        <w:t xml:space="preserve">• </w:t>
      </w:r>
      <w:r>
        <w:rPr>
          <w:rFonts w:ascii="Calibri" w:hAnsi="Calibri"/>
          <w:sz w:val="22"/>
        </w:rPr>
        <w:t>Operations Team: Knowledge transfer recipients</w:t>
      </w:r>
    </w:p>
    <w:p>
      <w:pPr>
        <w:spacing w:after="80"/>
        <w:ind w:left="720" w:hanging="360"/>
      </w:pPr>
      <w:r>
        <w:rPr>
          <w:rFonts w:ascii="Calibri" w:hAnsi="Calibri"/>
          <w:sz w:val="22"/>
        </w:rPr>
        <w:t xml:space="preserve">• </w:t>
      </w:r>
      <w:r>
        <w:rPr>
          <w:rFonts w:ascii="Calibri" w:hAnsi="Calibri"/>
          <w:sz w:val="22"/>
        </w:rPr>
        <w:t>Subject Matter Experts: Requirements validation</w:t>
      </w:r>
    </w:p>
    <w:p>
      <w:pPr>
        <w:pStyle w:val="Heading1"/>
        <w:spacing w:before="160" w:after="120"/>
        <w:ind w:left="0" w:firstLine="0"/>
      </w:pPr>
      <w:r>
        <w:t>6 Architecture &amp; Design</w:t>
      </w:r>
    </w:p>
    <w:p>
      <w:pPr>
        <w:pStyle w:val="Heading2"/>
        <w:spacing w:before="240" w:after="120"/>
        <w:ind w:left="0" w:firstLine="0"/>
      </w:pPr>
      <w:r>
        <w:t>6.1 Solution Architecture</w:t>
      </w:r>
    </w:p>
    <w:p>
      <w:pPr>
        <w:spacing w:after="160"/>
      </w:pPr>
      <w:r>
        <w:rPr>
          <w:rFonts w:ascii="Calibri" w:hAnsi="Calibri"/>
          <w:b/>
          <w:sz w:val="22"/>
        </w:rPr>
        <w:t>layout:</w:t>
      </w:r>
      <w:r>
        <w:rPr>
          <w:rFonts w:ascii="Calibri" w:hAnsi="Calibri"/>
          <w:sz w:val="22"/>
        </w:rPr>
        <w:t xml:space="preserve"> visual</w:t>
      </w:r>
    </w:p>
    <w:p>
      <w:pPr>
        <w:spacing w:after="160"/>
      </w:pPr>
      <w:r>
        <w:rPr>
          <w:rFonts w:ascii="Calibri" w:hAnsi="Calibri"/>
          <w:b/>
          <w:sz w:val="22"/>
        </w:rPr>
        <w:t>Secure, Scalable Azure Virtual Desktop Architecture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8640"/>
      </w:tblGrid>
      <w:tr>
        <w:tc>
          <w:tcPr>
            <w:tcW w:type="dxa" w:w="8640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29200" cy="2993353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rchitecture-diagram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0" cy="299335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Caption"/>
        <w:spacing w:before="60" w:after="240"/>
        <w:jc w:val="center"/>
      </w:pPr>
      <w:r>
        <w:rPr>
          <w:rFonts w:ascii="Calibri" w:hAnsi="Calibri"/>
          <w:sz w:val="24"/>
        </w:rP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rFonts w:ascii="Calibri" w:hAnsi="Calibri"/>
          <w:sz w:val="24"/>
        </w:rPr>
        <w:t>1</w:t>
      </w:r>
      <w:r>
        <w:fldChar w:fldCharType="end"/>
      </w:r>
      <w:r>
        <w:rPr>
          <w:rFonts w:ascii="Calibri" w:hAnsi="Calibri"/>
          <w:sz w:val="24"/>
        </w:rPr>
        <w:t>: Architecture Diagram</w:t>
      </w:r>
    </w:p>
    <w:p>
      <w:pPr>
        <w:spacing w:after="80"/>
        <w:ind w:left="720" w:hanging="360"/>
      </w:pPr>
      <w:r>
        <w:rPr>
          <w:rFonts w:ascii="Calibri" w:hAnsi="Calibri"/>
          <w:sz w:val="22"/>
        </w:rPr>
        <w:t xml:space="preserve">• </w:t>
      </w:r>
      <w:r>
        <w:rPr>
          <w:rFonts w:ascii="Calibri" w:hAnsi="Calibri"/>
          <w:b/>
          <w:sz w:val="22"/>
        </w:rPr>
        <w:t>AVD Core Components</w:t>
      </w:r>
    </w:p>
    <w:p>
      <w:pPr>
        <w:spacing w:after="80"/>
        <w:ind w:left="720" w:hanging="360"/>
      </w:pPr>
      <w:r>
        <w:rPr>
          <w:rFonts w:ascii="Calibri" w:hAnsi="Calibri"/>
          <w:sz w:val="22"/>
        </w:rPr>
        <w:t xml:space="preserve">• </w:t>
      </w:r>
      <w:r>
        <w:rPr>
          <w:rFonts w:ascii="Calibri" w:hAnsi="Calibri"/>
          <w:sz w:val="22"/>
        </w:rPr>
        <w:t>Windows 11 Multi-Session VMs with 20 session hosts supporting 100 concurrent users</w:t>
      </w:r>
    </w:p>
    <w:p>
      <w:pPr>
        <w:spacing w:after="80"/>
        <w:ind w:left="720" w:hanging="360"/>
      </w:pPr>
      <w:r>
        <w:rPr>
          <w:rFonts w:ascii="Calibri" w:hAnsi="Calibri"/>
          <w:sz w:val="22"/>
        </w:rPr>
        <w:t xml:space="preserve">• </w:t>
      </w:r>
      <w:r>
        <w:rPr>
          <w:rFonts w:ascii="Calibri" w:hAnsi="Calibri"/>
          <w:sz w:val="22"/>
        </w:rPr>
        <w:t>Azure AD integration for unified identity and conditional access policies</w:t>
      </w:r>
    </w:p>
    <w:p>
      <w:pPr>
        <w:spacing w:after="80"/>
        <w:ind w:left="720" w:hanging="360"/>
      </w:pPr>
      <w:r>
        <w:rPr>
          <w:rFonts w:ascii="Calibri" w:hAnsi="Calibri"/>
          <w:sz w:val="22"/>
        </w:rPr>
        <w:t xml:space="preserve">• </w:t>
      </w:r>
      <w:r>
        <w:rPr>
          <w:rFonts w:ascii="Calibri" w:hAnsi="Calibri"/>
          <w:sz w:val="22"/>
        </w:rPr>
        <w:t>FSLogix user profile containers for seamless profile roaming and application persistence</w:t>
      </w:r>
    </w:p>
    <w:p>
      <w:pPr>
        <w:spacing w:after="160"/>
      </w:pPr>
      <w:r>
        <w:rPr>
          <w:rFonts w:ascii="Calibri" w:hAnsi="Calibri"/>
          <w:b/>
          <w:sz w:val="22"/>
        </w:rPr>
        <w:t>Platform Architecture</w:t>
      </w:r>
    </w:p>
    <w:p>
      <w:pPr>
        <w:spacing w:after="80"/>
        <w:ind w:left="720" w:hanging="360"/>
      </w:pPr>
      <w:r>
        <w:rPr>
          <w:rFonts w:ascii="Calibri" w:hAnsi="Calibri"/>
          <w:sz w:val="22"/>
        </w:rPr>
        <w:t xml:space="preserve">• </w:t>
      </w:r>
      <w:r>
        <w:rPr>
          <w:rFonts w:ascii="Calibri" w:hAnsi="Calibri"/>
          <w:sz w:val="22"/>
        </w:rPr>
        <w:t>Azure Virtual Network with hub-spoke topology for connectivity and security</w:t>
      </w:r>
    </w:p>
    <w:p>
      <w:pPr>
        <w:spacing w:after="80"/>
        <w:ind w:left="720" w:hanging="360"/>
      </w:pPr>
      <w:r>
        <w:rPr>
          <w:rFonts w:ascii="Calibri" w:hAnsi="Calibri"/>
          <w:sz w:val="22"/>
        </w:rPr>
        <w:t xml:space="preserve">• </w:t>
      </w:r>
      <w:r>
        <w:rPr>
          <w:rFonts w:ascii="Calibri" w:hAnsi="Calibri"/>
          <w:sz w:val="22"/>
        </w:rPr>
        <w:t>Azure Files Premium storage for FSLogix containers and user data</w:t>
      </w:r>
    </w:p>
    <w:p>
      <w:pPr>
        <w:spacing w:after="80"/>
        <w:ind w:left="720" w:hanging="360"/>
      </w:pPr>
      <w:r>
        <w:rPr>
          <w:rFonts w:ascii="Calibri" w:hAnsi="Calibri"/>
          <w:sz w:val="22"/>
        </w:rPr>
        <w:t xml:space="preserve">• </w:t>
      </w:r>
      <w:r>
        <w:rPr>
          <w:rFonts w:ascii="Calibri" w:hAnsi="Calibri"/>
          <w:sz w:val="22"/>
        </w:rPr>
        <w:t>Azure Monitor with Log Analytics for comprehensive diagnostics and compliance</w:t>
      </w:r>
    </w:p>
    <w:p>
      <w:pPr>
        <w:spacing w:after="80"/>
        <w:ind w:left="720" w:hanging="360"/>
      </w:pPr>
      <w:r>
        <w:rPr>
          <w:rFonts w:ascii="Calibri" w:hAnsi="Calibri"/>
          <w:sz w:val="22"/>
        </w:rPr>
        <w:t xml:space="preserve">• </w:t>
      </w:r>
      <w:r>
        <w:rPr>
          <w:rFonts w:ascii="Calibri" w:hAnsi="Calibri"/>
          <w:sz w:val="22"/>
        </w:rPr>
        <w:t>Intune device management for BYOD and corporate device support</w:t>
      </w:r>
    </w:p>
    <w:p>
      <w:pPr>
        <w:pStyle w:val="Heading2"/>
        <w:spacing w:before="240" w:after="120"/>
        <w:ind w:left="0" w:firstLine="0"/>
      </w:pPr>
      <w:r>
        <w:t>6.2 Technical Implementation</w:t>
      </w:r>
    </w:p>
    <w:p>
      <w:pPr>
        <w:spacing w:after="160"/>
      </w:pPr>
      <w:r>
        <w:rPr>
          <w:rFonts w:ascii="Calibri" w:hAnsi="Calibri"/>
          <w:sz w:val="22"/>
        </w:rPr>
        <w:t>The implementation will follow industry best practices with:</w:t>
      </w:r>
    </w:p>
    <w:p>
      <w:pPr>
        <w:spacing w:after="80"/>
        <w:ind w:left="720" w:hanging="360"/>
      </w:pPr>
      <w:r>
        <w:rPr>
          <w:rFonts w:ascii="Calibri" w:hAnsi="Calibri"/>
          <w:sz w:val="22"/>
        </w:rPr>
        <w:t xml:space="preserve">• </w:t>
      </w:r>
      <w:r>
        <w:rPr>
          <w:rFonts w:ascii="Calibri" w:hAnsi="Calibri"/>
          <w:sz w:val="22"/>
        </w:rPr>
        <w:t>Infrastructure as Code for repeatable deployments</w:t>
      </w:r>
    </w:p>
    <w:p>
      <w:pPr>
        <w:spacing w:after="80"/>
        <w:ind w:left="720" w:hanging="360"/>
      </w:pPr>
      <w:r>
        <w:rPr>
          <w:rFonts w:ascii="Calibri" w:hAnsi="Calibri"/>
          <w:sz w:val="22"/>
        </w:rPr>
        <w:t xml:space="preserve">• </w:t>
      </w:r>
      <w:r>
        <w:rPr>
          <w:rFonts w:ascii="Calibri" w:hAnsi="Calibri"/>
          <w:sz w:val="22"/>
        </w:rPr>
        <w:t>Configuration management for consistency</w:t>
      </w:r>
    </w:p>
    <w:p>
      <w:pPr>
        <w:spacing w:after="80"/>
        <w:ind w:left="720" w:hanging="360"/>
      </w:pPr>
      <w:r>
        <w:rPr>
          <w:rFonts w:ascii="Calibri" w:hAnsi="Calibri"/>
          <w:sz w:val="22"/>
        </w:rPr>
        <w:t xml:space="preserve">• </w:t>
      </w:r>
      <w:r>
        <w:rPr>
          <w:rFonts w:ascii="Calibri" w:hAnsi="Calibri"/>
          <w:sz w:val="22"/>
        </w:rPr>
        <w:t>Automated testing and validation</w:t>
      </w:r>
    </w:p>
    <w:p>
      <w:pPr>
        <w:spacing w:after="80"/>
        <w:ind w:left="720" w:hanging="360"/>
      </w:pPr>
      <w:r>
        <w:rPr>
          <w:rFonts w:ascii="Calibri" w:hAnsi="Calibri"/>
          <w:sz w:val="22"/>
        </w:rPr>
        <w:t xml:space="preserve">• </w:t>
      </w:r>
      <w:r>
        <w:rPr>
          <w:rFonts w:ascii="Calibri" w:hAnsi="Calibri"/>
          <w:sz w:val="22"/>
        </w:rPr>
        <w:t>Comprehensive monitoring and alerting</w:t>
      </w:r>
    </w:p>
    <w:p>
      <w:pPr>
        <w:spacing w:after="80"/>
        <w:ind w:left="720" w:hanging="360"/>
      </w:pPr>
      <w:r>
        <w:rPr>
          <w:rFonts w:ascii="Calibri" w:hAnsi="Calibri"/>
          <w:sz w:val="22"/>
        </w:rPr>
        <w:t xml:space="preserve">• </w:t>
      </w:r>
      <w:r>
        <w:rPr>
          <w:rFonts w:ascii="Calibri" w:hAnsi="Calibri"/>
          <w:sz w:val="22"/>
        </w:rPr>
        <w:t>Security-first design principles</w:t>
      </w:r>
    </w:p>
    <w:p>
      <w:pPr>
        <w:pStyle w:val="Heading1"/>
        <w:spacing w:before="160" w:after="120"/>
        <w:ind w:left="0" w:firstLine="0"/>
      </w:pPr>
      <w:r>
        <w:t>7 Security &amp; Compliance</w:t>
      </w:r>
    </w:p>
    <w:p>
      <w:pPr>
        <w:pStyle w:val="Heading2"/>
        <w:spacing w:before="240" w:after="120"/>
        <w:ind w:left="0" w:firstLine="0"/>
      </w:pPr>
      <w:r>
        <w:t>7.1 Identity &amp; Access Management</w:t>
      </w:r>
    </w:p>
    <w:p>
      <w:pPr>
        <w:spacing w:after="80"/>
        <w:ind w:left="720" w:hanging="360"/>
      </w:pPr>
      <w:r>
        <w:rPr>
          <w:rFonts w:ascii="Calibri" w:hAnsi="Calibri"/>
          <w:sz w:val="22"/>
        </w:rPr>
        <w:t xml:space="preserve">• </w:t>
      </w:r>
      <w:r>
        <w:rPr>
          <w:rFonts w:ascii="Calibri" w:hAnsi="Calibri"/>
          <w:sz w:val="22"/>
        </w:rPr>
        <w:t>Role-based access control (RBAC) implementation</w:t>
      </w:r>
    </w:p>
    <w:p>
      <w:pPr>
        <w:spacing w:after="80"/>
        <w:ind w:left="720" w:hanging="360"/>
      </w:pPr>
      <w:r>
        <w:rPr>
          <w:rFonts w:ascii="Calibri" w:hAnsi="Calibri"/>
          <w:sz w:val="22"/>
        </w:rPr>
        <w:t xml:space="preserve">• </w:t>
      </w:r>
      <w:r>
        <w:rPr>
          <w:rFonts w:ascii="Calibri" w:hAnsi="Calibri"/>
          <w:sz w:val="22"/>
        </w:rPr>
        <w:t>Least-privilege principle enforcement</w:t>
      </w:r>
    </w:p>
    <w:p>
      <w:pPr>
        <w:spacing w:after="80"/>
        <w:ind w:left="720" w:hanging="360"/>
      </w:pPr>
      <w:r>
        <w:rPr>
          <w:rFonts w:ascii="Calibri" w:hAnsi="Calibri"/>
          <w:sz w:val="22"/>
        </w:rPr>
        <w:t xml:space="preserve">• </w:t>
      </w:r>
      <w:r>
        <w:rPr>
          <w:rFonts w:ascii="Calibri" w:hAnsi="Calibri"/>
          <w:sz w:val="22"/>
        </w:rPr>
        <w:t>Multi-factor authentication (MFA) required</w:t>
      </w:r>
    </w:p>
    <w:p>
      <w:pPr>
        <w:spacing w:after="80"/>
        <w:ind w:left="720" w:hanging="360"/>
      </w:pPr>
      <w:r>
        <w:rPr>
          <w:rFonts w:ascii="Calibri" w:hAnsi="Calibri"/>
          <w:sz w:val="22"/>
        </w:rPr>
        <w:t xml:space="preserve">• </w:t>
      </w:r>
      <w:r>
        <w:rPr>
          <w:rFonts w:ascii="Calibri" w:hAnsi="Calibri"/>
          <w:sz w:val="22"/>
        </w:rPr>
        <w:t>Service accounts with minimal permissions</w:t>
      </w:r>
    </w:p>
    <w:p>
      <w:pPr>
        <w:spacing w:after="80"/>
        <w:ind w:left="720" w:hanging="360"/>
      </w:pPr>
      <w:r>
        <w:rPr>
          <w:rFonts w:ascii="Calibri" w:hAnsi="Calibri"/>
          <w:sz w:val="22"/>
        </w:rPr>
        <w:t xml:space="preserve">• </w:t>
      </w:r>
      <w:r>
        <w:rPr>
          <w:rFonts w:ascii="Calibri" w:hAnsi="Calibri"/>
          <w:sz w:val="22"/>
        </w:rPr>
        <w:t>Regular access reviews and certification</w:t>
      </w:r>
    </w:p>
    <w:p>
      <w:pPr>
        <w:pStyle w:val="Heading2"/>
        <w:spacing w:before="240" w:after="120"/>
        <w:ind w:left="0" w:firstLine="0"/>
      </w:pPr>
      <w:r>
        <w:t>7.2 Monitoring &amp; Threat Detection</w:t>
      </w:r>
    </w:p>
    <w:p>
      <w:pPr>
        <w:spacing w:after="80"/>
        <w:ind w:left="720" w:hanging="360"/>
      </w:pPr>
      <w:r>
        <w:rPr>
          <w:rFonts w:ascii="Calibri" w:hAnsi="Calibri"/>
          <w:sz w:val="22"/>
        </w:rPr>
        <w:t xml:space="preserve">• </w:t>
      </w:r>
      <w:r>
        <w:rPr>
          <w:rFonts w:ascii="Calibri" w:hAnsi="Calibri"/>
          <w:sz w:val="22"/>
        </w:rPr>
        <w:t>Real-time security monitoring and alerting</w:t>
      </w:r>
    </w:p>
    <w:p>
      <w:pPr>
        <w:spacing w:after="80"/>
        <w:ind w:left="720" w:hanging="360"/>
      </w:pPr>
      <w:r>
        <w:rPr>
          <w:rFonts w:ascii="Calibri" w:hAnsi="Calibri"/>
          <w:sz w:val="22"/>
        </w:rPr>
        <w:t xml:space="preserve">• </w:t>
      </w:r>
      <w:r>
        <w:rPr>
          <w:rFonts w:ascii="Calibri" w:hAnsi="Calibri"/>
          <w:sz w:val="22"/>
        </w:rPr>
        <w:t>Audit logging for all administrative actions</w:t>
      </w:r>
    </w:p>
    <w:p>
      <w:pPr>
        <w:spacing w:after="80"/>
        <w:ind w:left="720" w:hanging="360"/>
      </w:pPr>
      <w:r>
        <w:rPr>
          <w:rFonts w:ascii="Calibri" w:hAnsi="Calibri"/>
          <w:sz w:val="22"/>
        </w:rPr>
        <w:t xml:space="preserve">• </w:t>
      </w:r>
      <w:r>
        <w:rPr>
          <w:rFonts w:ascii="Calibri" w:hAnsi="Calibri"/>
          <w:sz w:val="22"/>
        </w:rPr>
        <w:t>Anomaly detection and behavioral analysis</w:t>
      </w:r>
    </w:p>
    <w:p>
      <w:pPr>
        <w:spacing w:after="80"/>
        <w:ind w:left="720" w:hanging="360"/>
      </w:pPr>
      <w:r>
        <w:rPr>
          <w:rFonts w:ascii="Calibri" w:hAnsi="Calibri"/>
          <w:sz w:val="22"/>
        </w:rPr>
        <w:t xml:space="preserve">• </w:t>
      </w:r>
      <w:r>
        <w:rPr>
          <w:rFonts w:ascii="Calibri" w:hAnsi="Calibri"/>
          <w:sz w:val="22"/>
        </w:rPr>
        <w:t>Incident response integration</w:t>
      </w:r>
    </w:p>
    <w:p>
      <w:pPr>
        <w:spacing w:after="80"/>
        <w:ind w:left="720" w:hanging="360"/>
      </w:pPr>
      <w:r>
        <w:rPr>
          <w:rFonts w:ascii="Calibri" w:hAnsi="Calibri"/>
          <w:sz w:val="22"/>
        </w:rPr>
        <w:t xml:space="preserve">• </w:t>
      </w:r>
      <w:r>
        <w:rPr>
          <w:rFonts w:ascii="Calibri" w:hAnsi="Calibri"/>
          <w:sz w:val="22"/>
        </w:rPr>
        <w:t>Compliance reporting dashboards</w:t>
      </w:r>
    </w:p>
    <w:p>
      <w:pPr>
        <w:pStyle w:val="Heading2"/>
        <w:spacing w:before="240" w:after="120"/>
        <w:ind w:left="0" w:firstLine="0"/>
      </w:pPr>
      <w:r>
        <w:t>7.3 Compliance &amp; Governance</w:t>
      </w:r>
    </w:p>
    <w:p>
      <w:pPr>
        <w:spacing w:after="80"/>
        <w:ind w:left="720" w:hanging="360"/>
      </w:pPr>
      <w:r>
        <w:rPr>
          <w:rFonts w:ascii="Calibri" w:hAnsi="Calibri"/>
          <w:sz w:val="22"/>
        </w:rPr>
        <w:t xml:space="preserve">• </w:t>
      </w:r>
      <w:r>
        <w:rPr>
          <w:rFonts w:ascii="Calibri" w:hAnsi="Calibri"/>
          <w:sz w:val="22"/>
        </w:rPr>
        <w:t>Industry standard compliance frameworks (SOC 2, ISO 27001)</w:t>
      </w:r>
    </w:p>
    <w:p>
      <w:pPr>
        <w:spacing w:after="80"/>
        <w:ind w:left="720" w:hanging="360"/>
      </w:pPr>
      <w:r>
        <w:rPr>
          <w:rFonts w:ascii="Calibri" w:hAnsi="Calibri"/>
          <w:sz w:val="22"/>
        </w:rPr>
        <w:t xml:space="preserve">• </w:t>
      </w:r>
      <w:r>
        <w:rPr>
          <w:rFonts w:ascii="Calibri" w:hAnsi="Calibri"/>
          <w:sz w:val="22"/>
        </w:rPr>
        <w:t>Data classification and protection policies</w:t>
      </w:r>
    </w:p>
    <w:p>
      <w:pPr>
        <w:spacing w:after="80"/>
        <w:ind w:left="720" w:hanging="360"/>
      </w:pPr>
      <w:r>
        <w:rPr>
          <w:rFonts w:ascii="Calibri" w:hAnsi="Calibri"/>
          <w:sz w:val="22"/>
        </w:rPr>
        <w:t xml:space="preserve">• </w:t>
      </w:r>
      <w:r>
        <w:rPr>
          <w:rFonts w:ascii="Calibri" w:hAnsi="Calibri"/>
          <w:sz w:val="22"/>
        </w:rPr>
        <w:t>Encryption for data at-rest and in-transit</w:t>
      </w:r>
    </w:p>
    <w:p>
      <w:pPr>
        <w:spacing w:after="80"/>
        <w:ind w:left="720" w:hanging="360"/>
      </w:pPr>
      <w:r>
        <w:rPr>
          <w:rFonts w:ascii="Calibri" w:hAnsi="Calibri"/>
          <w:sz w:val="22"/>
        </w:rPr>
        <w:t xml:space="preserve">• </w:t>
      </w:r>
      <w:r>
        <w:rPr>
          <w:rFonts w:ascii="Calibri" w:hAnsi="Calibri"/>
          <w:sz w:val="22"/>
        </w:rPr>
        <w:t>Regular security assessments</w:t>
      </w:r>
    </w:p>
    <w:p>
      <w:pPr>
        <w:spacing w:after="80"/>
        <w:ind w:left="720" w:hanging="360"/>
      </w:pPr>
      <w:r>
        <w:rPr>
          <w:rFonts w:ascii="Calibri" w:hAnsi="Calibri"/>
          <w:sz w:val="22"/>
        </w:rPr>
        <w:t xml:space="preserve">• </w:t>
      </w:r>
      <w:r>
        <w:rPr>
          <w:rFonts w:ascii="Calibri" w:hAnsi="Calibri"/>
          <w:sz w:val="22"/>
        </w:rPr>
        <w:t>Policy enforcement automation</w:t>
      </w:r>
    </w:p>
    <w:p>
      <w:pPr>
        <w:pStyle w:val="Heading1"/>
        <w:spacing w:before="160" w:after="120"/>
        <w:ind w:left="0" w:firstLine="0"/>
      </w:pPr>
      <w:r>
        <w:t>8 Testing &amp; Validation</w:t>
      </w:r>
    </w:p>
    <w:p>
      <w:pPr>
        <w:pStyle w:val="Heading2"/>
        <w:spacing w:before="240" w:after="120"/>
        <w:ind w:left="0" w:firstLine="0"/>
      </w:pPr>
      <w:r>
        <w:t>8.1 Testing Strategy</w:t>
      </w:r>
    </w:p>
    <w:p>
      <w:pPr>
        <w:spacing w:after="160"/>
      </w:pPr>
      <w:r>
        <w:rPr>
          <w:rFonts w:ascii="Calibri" w:hAnsi="Calibri"/>
          <w:b/>
          <w:sz w:val="22"/>
        </w:rPr>
        <w:t>Functional Validation:</w:t>
      </w:r>
    </w:p>
    <w:p>
      <w:pPr>
        <w:spacing w:after="80"/>
        <w:ind w:left="720" w:hanging="360"/>
      </w:pPr>
      <w:r>
        <w:rPr>
          <w:rFonts w:ascii="Calibri" w:hAnsi="Calibri"/>
          <w:sz w:val="22"/>
        </w:rPr>
        <w:t xml:space="preserve">• </w:t>
      </w:r>
      <w:r>
        <w:rPr>
          <w:rFonts w:ascii="Calibri" w:hAnsi="Calibri"/>
          <w:sz w:val="22"/>
        </w:rPr>
        <w:t>End-to-end workflow testing</w:t>
      </w:r>
    </w:p>
    <w:p>
      <w:pPr>
        <w:spacing w:after="80"/>
        <w:ind w:left="720" w:hanging="360"/>
      </w:pPr>
      <w:r>
        <w:rPr>
          <w:rFonts w:ascii="Calibri" w:hAnsi="Calibri"/>
          <w:sz w:val="22"/>
        </w:rPr>
        <w:t xml:space="preserve">• </w:t>
      </w:r>
      <w:r>
        <w:rPr>
          <w:rFonts w:ascii="Calibri" w:hAnsi="Calibri"/>
          <w:sz w:val="22"/>
        </w:rPr>
        <w:t>Integration point validation</w:t>
      </w:r>
    </w:p>
    <w:p>
      <w:pPr>
        <w:spacing w:after="80"/>
        <w:ind w:left="720" w:hanging="360"/>
      </w:pPr>
      <w:r>
        <w:rPr>
          <w:rFonts w:ascii="Calibri" w:hAnsi="Calibri"/>
          <w:sz w:val="22"/>
        </w:rPr>
        <w:t xml:space="preserve">• </w:t>
      </w:r>
      <w:r>
        <w:rPr>
          <w:rFonts w:ascii="Calibri" w:hAnsi="Calibri"/>
          <w:sz w:val="22"/>
        </w:rPr>
        <w:t>User acceptance testing coordination</w:t>
      </w:r>
    </w:p>
    <w:p>
      <w:pPr>
        <w:spacing w:after="80"/>
        <w:ind w:left="720" w:hanging="360"/>
      </w:pPr>
      <w:r>
        <w:rPr>
          <w:rFonts w:ascii="Calibri" w:hAnsi="Calibri"/>
          <w:sz w:val="22"/>
        </w:rPr>
        <w:t xml:space="preserve">• </w:t>
      </w:r>
      <w:r>
        <w:rPr>
          <w:rFonts w:ascii="Calibri" w:hAnsi="Calibri"/>
          <w:sz w:val="22"/>
        </w:rPr>
        <w:t>Data integrity verification</w:t>
      </w:r>
    </w:p>
    <w:p>
      <w:pPr>
        <w:spacing w:after="160"/>
      </w:pPr>
      <w:r>
        <w:rPr>
          <w:rFonts w:ascii="Calibri" w:hAnsi="Calibri"/>
          <w:b/>
          <w:sz w:val="22"/>
        </w:rPr>
        <w:t>Performance Testing:</w:t>
      </w:r>
    </w:p>
    <w:p>
      <w:pPr>
        <w:spacing w:after="80"/>
        <w:ind w:left="720" w:hanging="360"/>
      </w:pPr>
      <w:r>
        <w:rPr>
          <w:rFonts w:ascii="Calibri" w:hAnsi="Calibri"/>
          <w:sz w:val="22"/>
        </w:rPr>
        <w:t xml:space="preserve">• </w:t>
      </w:r>
      <w:r>
        <w:rPr>
          <w:rFonts w:ascii="Calibri" w:hAnsi="Calibri"/>
          <w:sz w:val="22"/>
        </w:rPr>
        <w:t>Load testing under expected conditions</w:t>
      </w:r>
    </w:p>
    <w:p>
      <w:pPr>
        <w:spacing w:after="80"/>
        <w:ind w:left="720" w:hanging="360"/>
      </w:pPr>
      <w:r>
        <w:rPr>
          <w:rFonts w:ascii="Calibri" w:hAnsi="Calibri"/>
          <w:sz w:val="22"/>
        </w:rPr>
        <w:t xml:space="preserve">• </w:t>
      </w:r>
      <w:r>
        <w:rPr>
          <w:rFonts w:ascii="Calibri" w:hAnsi="Calibri"/>
          <w:sz w:val="22"/>
        </w:rPr>
        <w:t>Stress testing at 2x capacity</w:t>
      </w:r>
    </w:p>
    <w:p>
      <w:pPr>
        <w:spacing w:after="80"/>
        <w:ind w:left="720" w:hanging="360"/>
      </w:pPr>
      <w:r>
        <w:rPr>
          <w:rFonts w:ascii="Calibri" w:hAnsi="Calibri"/>
          <w:sz w:val="22"/>
        </w:rPr>
        <w:t xml:space="preserve">• </w:t>
      </w:r>
      <w:r>
        <w:rPr>
          <w:rFonts w:ascii="Calibri" w:hAnsi="Calibri"/>
          <w:sz w:val="22"/>
        </w:rPr>
        <w:t>Response time benchmarking</w:t>
      </w:r>
    </w:p>
    <w:p>
      <w:pPr>
        <w:spacing w:after="80"/>
        <w:ind w:left="720" w:hanging="360"/>
      </w:pPr>
      <w:r>
        <w:rPr>
          <w:rFonts w:ascii="Calibri" w:hAnsi="Calibri"/>
          <w:sz w:val="22"/>
        </w:rPr>
        <w:t xml:space="preserve">• </w:t>
      </w:r>
      <w:r>
        <w:rPr>
          <w:rFonts w:ascii="Calibri" w:hAnsi="Calibri"/>
          <w:sz w:val="22"/>
        </w:rPr>
        <w:t>Scalability validation</w:t>
      </w:r>
    </w:p>
    <w:p>
      <w:pPr>
        <w:spacing w:after="160"/>
      </w:pPr>
      <w:r>
        <w:rPr>
          <w:rFonts w:ascii="Calibri" w:hAnsi="Calibri"/>
          <w:b/>
          <w:sz w:val="22"/>
        </w:rPr>
        <w:t>Security Testing:</w:t>
      </w:r>
    </w:p>
    <w:p>
      <w:pPr>
        <w:spacing w:after="80"/>
        <w:ind w:left="720" w:hanging="360"/>
      </w:pPr>
      <w:r>
        <w:rPr>
          <w:rFonts w:ascii="Calibri" w:hAnsi="Calibri"/>
          <w:sz w:val="22"/>
        </w:rPr>
        <w:t xml:space="preserve">• </w:t>
      </w:r>
      <w:r>
        <w:rPr>
          <w:rFonts w:ascii="Calibri" w:hAnsi="Calibri"/>
          <w:sz w:val="22"/>
        </w:rPr>
        <w:t>Vulnerability scanning</w:t>
      </w:r>
    </w:p>
    <w:p>
      <w:pPr>
        <w:spacing w:after="80"/>
        <w:ind w:left="720" w:hanging="360"/>
      </w:pPr>
      <w:r>
        <w:rPr>
          <w:rFonts w:ascii="Calibri" w:hAnsi="Calibri"/>
          <w:sz w:val="22"/>
        </w:rPr>
        <w:t xml:space="preserve">• </w:t>
      </w:r>
      <w:r>
        <w:rPr>
          <w:rFonts w:ascii="Calibri" w:hAnsi="Calibri"/>
          <w:sz w:val="22"/>
        </w:rPr>
        <w:t>Access control validation</w:t>
      </w:r>
    </w:p>
    <w:p>
      <w:pPr>
        <w:spacing w:after="80"/>
        <w:ind w:left="720" w:hanging="360"/>
      </w:pPr>
      <w:r>
        <w:rPr>
          <w:rFonts w:ascii="Calibri" w:hAnsi="Calibri"/>
          <w:sz w:val="22"/>
        </w:rPr>
        <w:t xml:space="preserve">• </w:t>
      </w:r>
      <w:r>
        <w:rPr>
          <w:rFonts w:ascii="Calibri" w:hAnsi="Calibri"/>
          <w:sz w:val="22"/>
        </w:rPr>
        <w:t>Compliance verification</w:t>
      </w:r>
    </w:p>
    <w:p>
      <w:pPr>
        <w:spacing w:after="80"/>
        <w:ind w:left="720" w:hanging="360"/>
      </w:pPr>
      <w:r>
        <w:rPr>
          <w:rFonts w:ascii="Calibri" w:hAnsi="Calibri"/>
          <w:sz w:val="22"/>
        </w:rPr>
        <w:t xml:space="preserve">• </w:t>
      </w:r>
      <w:r>
        <w:rPr>
          <w:rFonts w:ascii="Calibri" w:hAnsi="Calibri"/>
          <w:sz w:val="22"/>
        </w:rPr>
        <w:t>Penetration testing coordination (if required)</w:t>
      </w:r>
    </w:p>
    <w:p>
      <w:pPr>
        <w:pStyle w:val="Heading2"/>
        <w:spacing w:before="240" w:after="120"/>
        <w:ind w:left="0" w:firstLine="0"/>
      </w:pPr>
      <w:r>
        <w:t>8.2 Go-Live Readiness</w:t>
      </w:r>
    </w:p>
    <w:p>
      <w:pPr>
        <w:spacing w:after="80"/>
        <w:ind w:left="720" w:hanging="360"/>
      </w:pPr>
      <w:r>
        <w:rPr>
          <w:rFonts w:ascii="Calibri" w:hAnsi="Calibri"/>
          <w:sz w:val="22"/>
        </w:rPr>
        <w:t xml:space="preserve">• </w:t>
      </w:r>
      <w:r>
        <w:rPr>
          <w:rFonts w:ascii="Calibri" w:hAnsi="Calibri"/>
          <w:sz w:val="22"/>
        </w:rPr>
        <w:t>[ ] All functional tests passed</w:t>
      </w:r>
    </w:p>
    <w:p>
      <w:pPr>
        <w:spacing w:after="80"/>
        <w:ind w:left="720" w:hanging="360"/>
      </w:pPr>
      <w:r>
        <w:rPr>
          <w:rFonts w:ascii="Calibri" w:hAnsi="Calibri"/>
          <w:sz w:val="22"/>
        </w:rPr>
        <w:t xml:space="preserve">• </w:t>
      </w:r>
      <w:r>
        <w:rPr>
          <w:rFonts w:ascii="Calibri" w:hAnsi="Calibri"/>
          <w:sz w:val="22"/>
        </w:rPr>
        <w:t>[ ] Performance benchmarks achieved</w:t>
      </w:r>
    </w:p>
    <w:p>
      <w:pPr>
        <w:spacing w:after="80"/>
        <w:ind w:left="720" w:hanging="360"/>
      </w:pPr>
      <w:r>
        <w:rPr>
          <w:rFonts w:ascii="Calibri" w:hAnsi="Calibri"/>
          <w:sz w:val="22"/>
        </w:rPr>
        <w:t xml:space="preserve">• </w:t>
      </w:r>
      <w:r>
        <w:rPr>
          <w:rFonts w:ascii="Calibri" w:hAnsi="Calibri"/>
          <w:sz w:val="22"/>
        </w:rPr>
        <w:t>[ ] Security validation complete</w:t>
      </w:r>
    </w:p>
    <w:p>
      <w:pPr>
        <w:spacing w:after="80"/>
        <w:ind w:left="720" w:hanging="360"/>
      </w:pPr>
      <w:r>
        <w:rPr>
          <w:rFonts w:ascii="Calibri" w:hAnsi="Calibri"/>
          <w:sz w:val="22"/>
        </w:rPr>
        <w:t xml:space="preserve">• </w:t>
      </w:r>
      <w:r>
        <w:rPr>
          <w:rFonts w:ascii="Calibri" w:hAnsi="Calibri"/>
          <w:sz w:val="22"/>
        </w:rPr>
        <w:t>[ ] Documentation finalized</w:t>
      </w:r>
    </w:p>
    <w:p>
      <w:pPr>
        <w:spacing w:after="80"/>
        <w:ind w:left="720" w:hanging="360"/>
      </w:pPr>
      <w:r>
        <w:rPr>
          <w:rFonts w:ascii="Calibri" w:hAnsi="Calibri"/>
          <w:sz w:val="22"/>
        </w:rPr>
        <w:t xml:space="preserve">• </w:t>
      </w:r>
      <w:r>
        <w:rPr>
          <w:rFonts w:ascii="Calibri" w:hAnsi="Calibri"/>
          <w:sz w:val="22"/>
        </w:rPr>
        <w:t>[ ] Team training completed</w:t>
      </w:r>
    </w:p>
    <w:p>
      <w:pPr>
        <w:spacing w:after="80"/>
        <w:ind w:left="720" w:hanging="360"/>
      </w:pPr>
      <w:r>
        <w:rPr>
          <w:rFonts w:ascii="Calibri" w:hAnsi="Calibri"/>
          <w:sz w:val="22"/>
        </w:rPr>
        <w:t xml:space="preserve">• </w:t>
      </w:r>
      <w:r>
        <w:rPr>
          <w:rFonts w:ascii="Calibri" w:hAnsi="Calibri"/>
          <w:sz w:val="22"/>
        </w:rPr>
        <w:t>[ ] Stakeholder sign-off obtained</w:t>
      </w:r>
    </w:p>
    <w:p>
      <w:pPr>
        <w:pStyle w:val="Heading1"/>
        <w:spacing w:before="160" w:after="120"/>
        <w:ind w:left="0" w:firstLine="0"/>
      </w:pPr>
      <w:r>
        <w:t>9 Handover &amp; Support</w:t>
      </w:r>
    </w:p>
    <w:p>
      <w:pPr>
        <w:pStyle w:val="Heading2"/>
        <w:spacing w:before="240" w:after="120"/>
        <w:ind w:left="0" w:firstLine="0"/>
      </w:pPr>
      <w:r>
        <w:t>9.1 Knowledge Transfer</w:t>
      </w:r>
    </w:p>
    <w:p>
      <w:pPr>
        <w:spacing w:after="160"/>
      </w:pPr>
      <w:r>
        <w:rPr>
          <w:rFonts w:ascii="Calibri" w:hAnsi="Calibri"/>
          <w:b/>
          <w:sz w:val="22"/>
        </w:rPr>
        <w:t>Training Sessions:</w:t>
      </w:r>
    </w:p>
    <w:p>
      <w:pPr>
        <w:spacing w:after="80"/>
        <w:ind w:left="720" w:hanging="360"/>
      </w:pPr>
      <w:r>
        <w:rPr>
          <w:rFonts w:ascii="Calibri" w:hAnsi="Calibri"/>
          <w:sz w:val="22"/>
        </w:rPr>
        <w:t xml:space="preserve">• </w:t>
      </w:r>
      <w:r>
        <w:rPr>
          <w:rFonts w:ascii="Calibri" w:hAnsi="Calibri"/>
          <w:sz w:val="22"/>
        </w:rPr>
        <w:t>3x live knowledge transfer sessions (recorded)</w:t>
      </w:r>
    </w:p>
    <w:p>
      <w:pPr>
        <w:spacing w:after="80"/>
        <w:ind w:left="720" w:hanging="360"/>
      </w:pPr>
      <w:r>
        <w:rPr>
          <w:rFonts w:ascii="Calibri" w:hAnsi="Calibri"/>
          <w:sz w:val="22"/>
        </w:rPr>
        <w:t xml:space="preserve">• </w:t>
      </w:r>
      <w:r>
        <w:rPr>
          <w:rFonts w:ascii="Calibri" w:hAnsi="Calibri"/>
          <w:sz w:val="22"/>
        </w:rPr>
        <w:t>Operations runbook walkthrough</w:t>
      </w:r>
    </w:p>
    <w:p>
      <w:pPr>
        <w:spacing w:after="80"/>
        <w:ind w:left="720" w:hanging="360"/>
      </w:pPr>
      <w:r>
        <w:rPr>
          <w:rFonts w:ascii="Calibri" w:hAnsi="Calibri"/>
          <w:sz w:val="22"/>
        </w:rPr>
        <w:t xml:space="preserve">• </w:t>
      </w:r>
      <w:r>
        <w:rPr>
          <w:rFonts w:ascii="Calibri" w:hAnsi="Calibri"/>
          <w:sz w:val="22"/>
        </w:rPr>
        <w:t>Monitoring and alerting procedures</w:t>
      </w:r>
    </w:p>
    <w:p>
      <w:pPr>
        <w:spacing w:after="80"/>
        <w:ind w:left="720" w:hanging="360"/>
      </w:pPr>
      <w:r>
        <w:rPr>
          <w:rFonts w:ascii="Calibri" w:hAnsi="Calibri"/>
          <w:sz w:val="22"/>
        </w:rPr>
        <w:t xml:space="preserve">• </w:t>
      </w:r>
      <w:r>
        <w:rPr>
          <w:rFonts w:ascii="Calibri" w:hAnsi="Calibri"/>
          <w:sz w:val="22"/>
        </w:rPr>
        <w:t>Incident response playbooks</w:t>
      </w:r>
    </w:p>
    <w:p>
      <w:pPr>
        <w:spacing w:after="80"/>
        <w:ind w:left="720" w:hanging="360"/>
      </w:pPr>
      <w:r>
        <w:rPr>
          <w:rFonts w:ascii="Calibri" w:hAnsi="Calibri"/>
          <w:sz w:val="22"/>
        </w:rPr>
        <w:t xml:space="preserve">• </w:t>
      </w:r>
      <w:r>
        <w:rPr>
          <w:rFonts w:ascii="Calibri" w:hAnsi="Calibri"/>
          <w:sz w:val="22"/>
        </w:rPr>
        <w:t>Best practices documentation</w:t>
      </w:r>
    </w:p>
    <w:p>
      <w:pPr>
        <w:spacing w:after="160"/>
      </w:pPr>
      <w:r>
        <w:rPr>
          <w:rFonts w:ascii="Calibri" w:hAnsi="Calibri"/>
          <w:b/>
          <w:sz w:val="22"/>
        </w:rPr>
        <w:t>Documentation Package:</w:t>
      </w:r>
    </w:p>
    <w:p>
      <w:pPr>
        <w:spacing w:after="80"/>
        <w:ind w:left="720" w:hanging="360"/>
      </w:pPr>
      <w:r>
        <w:rPr>
          <w:rFonts w:ascii="Calibri" w:hAnsi="Calibri"/>
          <w:sz w:val="22"/>
        </w:rPr>
        <w:t xml:space="preserve">• </w:t>
      </w:r>
      <w:r>
        <w:rPr>
          <w:rFonts w:ascii="Calibri" w:hAnsi="Calibri"/>
          <w:sz w:val="22"/>
        </w:rPr>
        <w:t>As-built architecture documentation</w:t>
      </w:r>
    </w:p>
    <w:p>
      <w:pPr>
        <w:spacing w:after="80"/>
        <w:ind w:left="720" w:hanging="360"/>
      </w:pPr>
      <w:r>
        <w:rPr>
          <w:rFonts w:ascii="Calibri" w:hAnsi="Calibri"/>
          <w:sz w:val="22"/>
        </w:rPr>
        <w:t xml:space="preserve">• </w:t>
      </w:r>
      <w:r>
        <w:rPr>
          <w:rFonts w:ascii="Calibri" w:hAnsi="Calibri"/>
          <w:sz w:val="22"/>
        </w:rPr>
        <w:t>Configuration management guide</w:t>
      </w:r>
    </w:p>
    <w:p>
      <w:pPr>
        <w:spacing w:after="80"/>
        <w:ind w:left="720" w:hanging="360"/>
      </w:pPr>
      <w:r>
        <w:rPr>
          <w:rFonts w:ascii="Calibri" w:hAnsi="Calibri"/>
          <w:sz w:val="22"/>
        </w:rPr>
        <w:t xml:space="preserve">• </w:t>
      </w:r>
      <w:r>
        <w:rPr>
          <w:rFonts w:ascii="Calibri" w:hAnsi="Calibri"/>
          <w:sz w:val="22"/>
        </w:rPr>
        <w:t>Operational runbooks</w:t>
      </w:r>
    </w:p>
    <w:p>
      <w:pPr>
        <w:spacing w:after="80"/>
        <w:ind w:left="720" w:hanging="360"/>
      </w:pPr>
      <w:r>
        <w:rPr>
          <w:rFonts w:ascii="Calibri" w:hAnsi="Calibri"/>
          <w:sz w:val="22"/>
        </w:rPr>
        <w:t xml:space="preserve">• </w:t>
      </w:r>
      <w:r>
        <w:rPr>
          <w:rFonts w:ascii="Calibri" w:hAnsi="Calibri"/>
          <w:sz w:val="22"/>
        </w:rPr>
        <w:t>Troubleshooting guide</w:t>
      </w:r>
    </w:p>
    <w:p>
      <w:pPr>
        <w:spacing w:after="80"/>
        <w:ind w:left="720" w:hanging="360"/>
      </w:pPr>
      <w:r>
        <w:rPr>
          <w:rFonts w:ascii="Calibri" w:hAnsi="Calibri"/>
          <w:sz w:val="22"/>
        </w:rPr>
        <w:t xml:space="preserve">• </w:t>
      </w:r>
      <w:r>
        <w:rPr>
          <w:rFonts w:ascii="Calibri" w:hAnsi="Calibri"/>
          <w:sz w:val="22"/>
        </w:rPr>
        <w:t>Optimization recommendations</w:t>
      </w:r>
    </w:p>
    <w:p>
      <w:pPr>
        <w:pStyle w:val="Heading2"/>
        <w:spacing w:before="240" w:after="120"/>
        <w:ind w:left="0" w:firstLine="0"/>
      </w:pPr>
      <w:r>
        <w:t>9.2 Hypercare Support</w:t>
      </w:r>
    </w:p>
    <w:p>
      <w:pPr>
        <w:spacing w:after="160"/>
      </w:pPr>
      <w:r>
        <w:rPr>
          <w:rFonts w:ascii="Calibri" w:hAnsi="Calibri"/>
          <w:b/>
          <w:sz w:val="22"/>
        </w:rPr>
        <w:t>Duration:</w:t>
      </w:r>
      <w:r>
        <w:rPr>
          <w:rFonts w:ascii="Calibri" w:hAnsi="Calibri"/>
          <w:sz w:val="22"/>
        </w:rPr>
        <w:t xml:space="preserve"> 4 weeks post-go-live</w:t>
      </w:r>
    </w:p>
    <w:p>
      <w:pPr>
        <w:spacing w:after="160"/>
      </w:pPr>
      <w:r>
        <w:rPr>
          <w:rFonts w:ascii="Calibri" w:hAnsi="Calibri"/>
          <w:b/>
          <w:sz w:val="22"/>
        </w:rPr>
        <w:t>Coverage:</w:t>
      </w:r>
    </w:p>
    <w:p>
      <w:pPr>
        <w:spacing w:after="80"/>
        <w:ind w:left="720" w:hanging="360"/>
      </w:pPr>
      <w:r>
        <w:rPr>
          <w:rFonts w:ascii="Calibri" w:hAnsi="Calibri"/>
          <w:sz w:val="22"/>
        </w:rPr>
        <w:t xml:space="preserve">• </w:t>
      </w:r>
      <w:r>
        <w:rPr>
          <w:rFonts w:ascii="Calibri" w:hAnsi="Calibri"/>
          <w:sz w:val="22"/>
        </w:rPr>
        <w:t>Business hours support (8 AM - 6 PM local time)</w:t>
      </w:r>
    </w:p>
    <w:p>
      <w:pPr>
        <w:spacing w:after="80"/>
        <w:ind w:left="720" w:hanging="360"/>
      </w:pPr>
      <w:r>
        <w:rPr>
          <w:rFonts w:ascii="Calibri" w:hAnsi="Calibri"/>
          <w:sz w:val="22"/>
        </w:rPr>
        <w:t xml:space="preserve">• </w:t>
      </w:r>
      <w:r>
        <w:rPr>
          <w:rFonts w:ascii="Calibri" w:hAnsi="Calibri"/>
          <w:sz w:val="22"/>
        </w:rPr>
        <w:t>4-hour response time for critical issues</w:t>
      </w:r>
    </w:p>
    <w:p>
      <w:pPr>
        <w:spacing w:after="80"/>
        <w:ind w:left="720" w:hanging="360"/>
      </w:pPr>
      <w:r>
        <w:rPr>
          <w:rFonts w:ascii="Calibri" w:hAnsi="Calibri"/>
          <w:sz w:val="22"/>
        </w:rPr>
        <w:t xml:space="preserve">• </w:t>
      </w:r>
      <w:r>
        <w:rPr>
          <w:rFonts w:ascii="Calibri" w:hAnsi="Calibri"/>
          <w:sz w:val="22"/>
        </w:rPr>
        <w:t>Daily health check calls (first 2 weeks)</w:t>
      </w:r>
    </w:p>
    <w:p>
      <w:pPr>
        <w:spacing w:after="80"/>
        <w:ind w:left="720" w:hanging="360"/>
      </w:pPr>
      <w:r>
        <w:rPr>
          <w:rFonts w:ascii="Calibri" w:hAnsi="Calibri"/>
          <w:sz w:val="22"/>
        </w:rPr>
        <w:t xml:space="preserve">• </w:t>
      </w:r>
      <w:r>
        <w:rPr>
          <w:rFonts w:ascii="Calibri" w:hAnsi="Calibri"/>
          <w:sz w:val="22"/>
        </w:rPr>
        <w:t>Weekly status meetings</w:t>
      </w:r>
    </w:p>
    <w:p>
      <w:pPr>
        <w:spacing w:after="160"/>
      </w:pPr>
      <w:r>
        <w:rPr>
          <w:rFonts w:ascii="Calibri" w:hAnsi="Calibri"/>
          <w:b/>
          <w:sz w:val="22"/>
        </w:rPr>
        <w:t>Scope:</w:t>
      </w:r>
    </w:p>
    <w:p>
      <w:pPr>
        <w:spacing w:after="80"/>
        <w:ind w:left="720" w:hanging="360"/>
      </w:pPr>
      <w:r>
        <w:rPr>
          <w:rFonts w:ascii="Calibri" w:hAnsi="Calibri"/>
          <w:sz w:val="22"/>
        </w:rPr>
        <w:t xml:space="preserve">• </w:t>
      </w:r>
      <w:r>
        <w:rPr>
          <w:rFonts w:ascii="Calibri" w:hAnsi="Calibri"/>
          <w:sz w:val="22"/>
        </w:rPr>
        <w:t>Issue investigation and resolution</w:t>
      </w:r>
    </w:p>
    <w:p>
      <w:pPr>
        <w:spacing w:after="80"/>
        <w:ind w:left="720" w:hanging="360"/>
      </w:pPr>
      <w:r>
        <w:rPr>
          <w:rFonts w:ascii="Calibri" w:hAnsi="Calibri"/>
          <w:sz w:val="22"/>
        </w:rPr>
        <w:t xml:space="preserve">• </w:t>
      </w:r>
      <w:r>
        <w:rPr>
          <w:rFonts w:ascii="Calibri" w:hAnsi="Calibri"/>
          <w:sz w:val="22"/>
        </w:rPr>
        <w:t>Performance tuning and optimization</w:t>
      </w:r>
    </w:p>
    <w:p>
      <w:pPr>
        <w:spacing w:after="80"/>
        <w:ind w:left="720" w:hanging="360"/>
      </w:pPr>
      <w:r>
        <w:rPr>
          <w:rFonts w:ascii="Calibri" w:hAnsi="Calibri"/>
          <w:sz w:val="22"/>
        </w:rPr>
        <w:t xml:space="preserve">• </w:t>
      </w:r>
      <w:r>
        <w:rPr>
          <w:rFonts w:ascii="Calibri" w:hAnsi="Calibri"/>
          <w:sz w:val="22"/>
        </w:rPr>
        <w:t>Configuration adjustments</w:t>
      </w:r>
    </w:p>
    <w:p>
      <w:pPr>
        <w:spacing w:after="80"/>
        <w:ind w:left="720" w:hanging="360"/>
      </w:pPr>
      <w:r>
        <w:rPr>
          <w:rFonts w:ascii="Calibri" w:hAnsi="Calibri"/>
          <w:sz w:val="22"/>
        </w:rPr>
        <w:t xml:space="preserve">• </w:t>
      </w:r>
      <w:r>
        <w:rPr>
          <w:rFonts w:ascii="Calibri" w:hAnsi="Calibri"/>
          <w:sz w:val="22"/>
        </w:rPr>
        <w:t>Continued knowledge transfer</w:t>
      </w:r>
    </w:p>
    <w:p>
      <w:pPr>
        <w:pStyle w:val="Heading1"/>
        <w:spacing w:before="160" w:after="120"/>
        <w:ind w:left="0" w:firstLine="0"/>
      </w:pPr>
      <w:r>
        <w:t>10 Investment Summary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87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</w:pPr>
            <w:r>
              <w:rPr>
                <w:rFonts w:ascii="Calibri" w:hAnsi="Calibri"/>
                <w:b/>
                <w:sz w:val="22"/>
              </w:rPr>
              <w:t>Cost Category</w:t>
            </w:r>
          </w:p>
        </w:tc>
        <w:tc>
          <w:tcPr>
            <w:tcW w:type="dxa" w:w="112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</w:pPr>
            <w:r>
              <w:rPr>
                <w:rFonts w:ascii="Calibri" w:hAnsi="Calibri"/>
                <w:b/>
                <w:sz w:val="22"/>
              </w:rPr>
              <w:t>Year 1 List</w:t>
            </w:r>
          </w:p>
        </w:tc>
        <w:tc>
          <w:tcPr>
            <w:tcW w:type="dxa" w:w="131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</w:pPr>
            <w:r>
              <w:rPr>
                <w:rFonts w:ascii="Calibri" w:hAnsi="Calibri"/>
                <w:b/>
                <w:sz w:val="22"/>
              </w:rPr>
              <w:t>Credits</w:t>
            </w:r>
          </w:p>
        </w:tc>
        <w:tc>
          <w:tcPr>
            <w:tcW w:type="dxa" w:w="131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</w:pPr>
            <w:r>
              <w:rPr>
                <w:rFonts w:ascii="Calibri" w:hAnsi="Calibri"/>
                <w:b/>
                <w:sz w:val="22"/>
              </w:rPr>
              <w:t>Year 1 Net</w:t>
            </w:r>
          </w:p>
        </w:tc>
        <w:tc>
          <w:tcPr>
            <w:tcW w:type="dxa" w:w="1217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</w:pPr>
            <w:r>
              <w:rPr>
                <w:rFonts w:ascii="Calibri" w:hAnsi="Calibri"/>
                <w:b/>
                <w:sz w:val="22"/>
              </w:rPr>
              <w:t>Year 2</w:t>
            </w:r>
          </w:p>
        </w:tc>
        <w:tc>
          <w:tcPr>
            <w:tcW w:type="dxa" w:w="1217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</w:pPr>
            <w:r>
              <w:rPr>
                <w:rFonts w:ascii="Calibri" w:hAnsi="Calibri"/>
                <w:b/>
                <w:sz w:val="22"/>
              </w:rPr>
              <w:t>Year 3</w:t>
            </w:r>
          </w:p>
        </w:tc>
        <w:tc>
          <w:tcPr>
            <w:tcW w:type="dxa" w:w="131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</w:pPr>
            <w:r>
              <w:rPr>
                <w:rFonts w:ascii="Calibri" w:hAnsi="Calibri"/>
                <w:b/>
                <w:sz w:val="22"/>
              </w:rPr>
              <w:t>3-Year Total</w:t>
            </w:r>
          </w:p>
        </w:tc>
      </w:tr>
      <w:tr>
        <w:tc>
          <w:tcPr>
            <w:tcW w:type="dxa" w:w="187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2"/>
              </w:rPr>
              <w:t>Cloud Infrastructure</w:t>
            </w:r>
          </w:p>
        </w:tc>
        <w:tc>
          <w:tcPr>
            <w:tcW w:type="dxa" w:w="112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2"/>
              </w:rPr>
              <w:t>$0</w:t>
            </w:r>
          </w:p>
        </w:tc>
        <w:tc>
          <w:tcPr>
            <w:tcW w:type="dxa" w:w="131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2"/>
              </w:rPr>
              <w:t>$0</w:t>
            </w:r>
          </w:p>
        </w:tc>
        <w:tc>
          <w:tcPr>
            <w:tcW w:type="dxa" w:w="131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2"/>
              </w:rPr>
              <w:t>$0</w:t>
            </w:r>
          </w:p>
        </w:tc>
        <w:tc>
          <w:tcPr>
            <w:tcW w:type="dxa" w:w="1217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2"/>
              </w:rPr>
              <w:t>$0</w:t>
            </w:r>
          </w:p>
        </w:tc>
        <w:tc>
          <w:tcPr>
            <w:tcW w:type="dxa" w:w="1217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2"/>
              </w:rPr>
              <w:t>$0</w:t>
            </w:r>
          </w:p>
        </w:tc>
        <w:tc>
          <w:tcPr>
            <w:tcW w:type="dxa" w:w="131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2"/>
              </w:rPr>
              <w:t>$0</w:t>
            </w:r>
          </w:p>
        </w:tc>
      </w:tr>
      <w:tr>
        <w:tc>
          <w:tcPr>
            <w:tcW w:type="dxa" w:w="187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2"/>
              </w:rPr>
              <w:t>Professional Services</w:t>
            </w:r>
          </w:p>
        </w:tc>
        <w:tc>
          <w:tcPr>
            <w:tcW w:type="dxa" w:w="112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2"/>
              </w:rPr>
              <w:t>$0</w:t>
            </w:r>
          </w:p>
        </w:tc>
        <w:tc>
          <w:tcPr>
            <w:tcW w:type="dxa" w:w="131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2"/>
              </w:rPr>
              <w:t>$0</w:t>
            </w:r>
          </w:p>
        </w:tc>
        <w:tc>
          <w:tcPr>
            <w:tcW w:type="dxa" w:w="131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2"/>
              </w:rPr>
              <w:t>$0</w:t>
            </w:r>
          </w:p>
        </w:tc>
        <w:tc>
          <w:tcPr>
            <w:tcW w:type="dxa" w:w="1217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2"/>
              </w:rPr>
              <w:t>$0</w:t>
            </w:r>
          </w:p>
        </w:tc>
        <w:tc>
          <w:tcPr>
            <w:tcW w:type="dxa" w:w="1217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2"/>
              </w:rPr>
              <w:t>$0</w:t>
            </w:r>
          </w:p>
        </w:tc>
        <w:tc>
          <w:tcPr>
            <w:tcW w:type="dxa" w:w="131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2"/>
              </w:rPr>
              <w:t>$0</w:t>
            </w:r>
          </w:p>
        </w:tc>
      </w:tr>
      <w:tr>
        <w:tc>
          <w:tcPr>
            <w:tcW w:type="dxa" w:w="187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2"/>
              </w:rPr>
              <w:t>Software Licenses</w:t>
            </w:r>
          </w:p>
        </w:tc>
        <w:tc>
          <w:tcPr>
            <w:tcW w:type="dxa" w:w="112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2"/>
              </w:rPr>
              <w:t>$0</w:t>
            </w:r>
          </w:p>
        </w:tc>
        <w:tc>
          <w:tcPr>
            <w:tcW w:type="dxa" w:w="131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2"/>
              </w:rPr>
              <w:t>$0</w:t>
            </w:r>
          </w:p>
        </w:tc>
        <w:tc>
          <w:tcPr>
            <w:tcW w:type="dxa" w:w="131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2"/>
              </w:rPr>
              <w:t>$0</w:t>
            </w:r>
          </w:p>
        </w:tc>
        <w:tc>
          <w:tcPr>
            <w:tcW w:type="dxa" w:w="1217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2"/>
              </w:rPr>
              <w:t>$0</w:t>
            </w:r>
          </w:p>
        </w:tc>
        <w:tc>
          <w:tcPr>
            <w:tcW w:type="dxa" w:w="1217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2"/>
              </w:rPr>
              <w:t>$0</w:t>
            </w:r>
          </w:p>
        </w:tc>
        <w:tc>
          <w:tcPr>
            <w:tcW w:type="dxa" w:w="131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2"/>
              </w:rPr>
              <w:t>$0</w:t>
            </w:r>
          </w:p>
        </w:tc>
      </w:tr>
      <w:tr>
        <w:tc>
          <w:tcPr>
            <w:tcW w:type="dxa" w:w="187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2"/>
              </w:rPr>
              <w:t>Support &amp; Maintenance</w:t>
            </w:r>
          </w:p>
        </w:tc>
        <w:tc>
          <w:tcPr>
            <w:tcW w:type="dxa" w:w="112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2"/>
              </w:rPr>
              <w:t>$0</w:t>
            </w:r>
          </w:p>
        </w:tc>
        <w:tc>
          <w:tcPr>
            <w:tcW w:type="dxa" w:w="131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2"/>
              </w:rPr>
              <w:t>$0</w:t>
            </w:r>
          </w:p>
        </w:tc>
        <w:tc>
          <w:tcPr>
            <w:tcW w:type="dxa" w:w="131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2"/>
              </w:rPr>
              <w:t>$0</w:t>
            </w:r>
          </w:p>
        </w:tc>
        <w:tc>
          <w:tcPr>
            <w:tcW w:type="dxa" w:w="1217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2"/>
              </w:rPr>
              <w:t>$0</w:t>
            </w:r>
          </w:p>
        </w:tc>
        <w:tc>
          <w:tcPr>
            <w:tcW w:type="dxa" w:w="1217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2"/>
              </w:rPr>
              <w:t>$0</w:t>
            </w:r>
          </w:p>
        </w:tc>
        <w:tc>
          <w:tcPr>
            <w:tcW w:type="dxa" w:w="131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2"/>
              </w:rPr>
              <w:t>$0</w:t>
            </w:r>
          </w:p>
        </w:tc>
      </w:tr>
      <w:tr>
        <w:tc>
          <w:tcPr>
            <w:tcW w:type="dxa" w:w="187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b/>
                <w:sz w:val="22"/>
              </w:rPr>
              <w:t>TOTAL INVESTMENT</w:t>
            </w:r>
          </w:p>
        </w:tc>
        <w:tc>
          <w:tcPr>
            <w:tcW w:type="dxa" w:w="112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b/>
                <w:sz w:val="22"/>
              </w:rPr>
              <w:t>$0</w:t>
            </w:r>
          </w:p>
        </w:tc>
        <w:tc>
          <w:tcPr>
            <w:tcW w:type="dxa" w:w="131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b/>
                <w:sz w:val="22"/>
              </w:rPr>
              <w:t>$0</w:t>
            </w:r>
          </w:p>
        </w:tc>
        <w:tc>
          <w:tcPr>
            <w:tcW w:type="dxa" w:w="131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b/>
                <w:sz w:val="22"/>
              </w:rPr>
              <w:t>$0</w:t>
            </w:r>
          </w:p>
        </w:tc>
        <w:tc>
          <w:tcPr>
            <w:tcW w:type="dxa" w:w="1217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b/>
                <w:sz w:val="22"/>
              </w:rPr>
              <w:t>$0</w:t>
            </w:r>
          </w:p>
        </w:tc>
        <w:tc>
          <w:tcPr>
            <w:tcW w:type="dxa" w:w="1217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b/>
                <w:sz w:val="22"/>
              </w:rPr>
              <w:t>$0</w:t>
            </w:r>
          </w:p>
        </w:tc>
        <w:tc>
          <w:tcPr>
            <w:tcW w:type="dxa" w:w="131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b/>
                <w:sz w:val="22"/>
              </w:rPr>
              <w:t>$0</w:t>
            </w:r>
          </w:p>
        </w:tc>
      </w:tr>
    </w:tbl>
    <w:p>
      <w:pPr>
        <w:pStyle w:val="Caption"/>
        <w:spacing w:before="60" w:after="240"/>
        <w:jc w:val="center"/>
      </w:pPr>
      <w:r>
        <w:rPr>
          <w:rFonts w:ascii="Calibri" w:hAnsi="Calibri"/>
          <w:sz w:val="24"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rFonts w:ascii="Calibri" w:hAnsi="Calibri"/>
          <w:sz w:val="24"/>
        </w:rPr>
        <w:t>5</w:t>
      </w:r>
      <w:r>
        <w:fldChar w:fldCharType="end"/>
      </w:r>
      <w:r>
        <w:rPr>
          <w:rFonts w:ascii="Calibri" w:hAnsi="Calibri"/>
          <w:sz w:val="24"/>
        </w:rPr>
        <w:t>: Investment Summary</w:t>
      </w:r>
    </w:p>
    <w:p>
      <w:pPr>
        <w:pStyle w:val="Heading1"/>
        <w:spacing w:before="160" w:after="120"/>
        <w:ind w:left="0" w:firstLine="0"/>
      </w:pPr>
      <w:r>
        <w:t>11 Terms &amp; Conditions</w:t>
      </w:r>
    </w:p>
    <w:p>
      <w:pPr>
        <w:pStyle w:val="Heading2"/>
        <w:spacing w:before="240" w:after="120"/>
        <w:ind w:left="0" w:firstLine="0"/>
      </w:pPr>
      <w:r>
        <w:t>11.1 General Terms</w:t>
      </w:r>
    </w:p>
    <w:p>
      <w:pPr>
        <w:spacing w:after="160"/>
      </w:pPr>
      <w:r>
        <w:rPr>
          <w:rFonts w:ascii="Calibri" w:hAnsi="Calibri"/>
          <w:sz w:val="22"/>
        </w:rPr>
        <w:t>All services will be delivered in accordance with the executed Master Services Agreement (MSA) between Vendor and Client.</w:t>
      </w:r>
    </w:p>
    <w:p>
      <w:pPr>
        <w:pStyle w:val="Heading2"/>
        <w:spacing w:before="240" w:after="120"/>
        <w:ind w:left="0" w:firstLine="0"/>
      </w:pPr>
      <w:r>
        <w:t>11.2 Scope Changes</w:t>
      </w:r>
    </w:p>
    <w:p>
      <w:pPr>
        <w:spacing w:after="160"/>
      </w:pPr>
      <w:r>
        <w:rPr>
          <w:rFonts w:ascii="Calibri" w:hAnsi="Calibri"/>
          <w:sz w:val="22"/>
        </w:rPr>
        <w:t>Any changes to scope, schedule, or cost require a formal Change Request approved by both parties. Impact assessment will be provided within 5 business days.</w:t>
      </w:r>
    </w:p>
    <w:p>
      <w:pPr>
        <w:pStyle w:val="Heading2"/>
        <w:spacing w:before="240" w:after="120"/>
        <w:ind w:left="0" w:firstLine="0"/>
      </w:pPr>
      <w:r>
        <w:t>11.3 Intellectual Property</w:t>
      </w:r>
    </w:p>
    <w:p>
      <w:pPr>
        <w:spacing w:after="80"/>
        <w:ind w:left="720" w:hanging="360"/>
      </w:pPr>
      <w:r>
        <w:rPr>
          <w:rFonts w:ascii="Calibri" w:hAnsi="Calibri"/>
          <w:sz w:val="22"/>
        </w:rPr>
        <w:t xml:space="preserve">• </w:t>
      </w:r>
      <w:r>
        <w:rPr>
          <w:rFonts w:ascii="Calibri" w:hAnsi="Calibri"/>
          <w:sz w:val="22"/>
        </w:rPr>
        <w:t>Client retains ownership of all configurations and documentation specific to their environment</w:t>
      </w:r>
    </w:p>
    <w:p>
      <w:pPr>
        <w:spacing w:after="80"/>
        <w:ind w:left="720" w:hanging="360"/>
      </w:pPr>
      <w:r>
        <w:rPr>
          <w:rFonts w:ascii="Calibri" w:hAnsi="Calibri"/>
          <w:sz w:val="22"/>
        </w:rPr>
        <w:t xml:space="preserve">• </w:t>
      </w:r>
      <w:r>
        <w:rPr>
          <w:rFonts w:ascii="Calibri" w:hAnsi="Calibri"/>
          <w:sz w:val="22"/>
        </w:rPr>
        <w:t>Vendor retains proprietary methodologies, tools, and accelerators</w:t>
      </w:r>
    </w:p>
    <w:p>
      <w:pPr>
        <w:spacing w:after="80"/>
        <w:ind w:left="720" w:hanging="360"/>
      </w:pPr>
      <w:r>
        <w:rPr>
          <w:rFonts w:ascii="Calibri" w:hAnsi="Calibri"/>
          <w:sz w:val="22"/>
        </w:rPr>
        <w:t xml:space="preserve">• </w:t>
      </w:r>
      <w:r>
        <w:rPr>
          <w:rFonts w:ascii="Calibri" w:hAnsi="Calibri"/>
          <w:sz w:val="22"/>
        </w:rPr>
        <w:t>Pre-existing IP remains with original owner</w:t>
      </w:r>
    </w:p>
    <w:p>
      <w:pPr>
        <w:pStyle w:val="Heading2"/>
        <w:spacing w:before="240" w:after="120"/>
        <w:ind w:left="0" w:firstLine="0"/>
      </w:pPr>
      <w:r>
        <w:t>11.4 Service Levels</w:t>
      </w:r>
    </w:p>
    <w:p>
      <w:pPr>
        <w:spacing w:after="80"/>
        <w:ind w:left="720" w:hanging="360"/>
      </w:pPr>
      <w:r>
        <w:rPr>
          <w:rFonts w:ascii="Calibri" w:hAnsi="Calibri"/>
          <w:sz w:val="22"/>
        </w:rPr>
        <w:t xml:space="preserve">• </w:t>
      </w:r>
      <w:r>
        <w:rPr>
          <w:rFonts w:ascii="Calibri" w:hAnsi="Calibri"/>
          <w:sz w:val="22"/>
        </w:rPr>
        <w:t>Deliverables provided per agreed schedule</w:t>
      </w:r>
    </w:p>
    <w:p>
      <w:pPr>
        <w:spacing w:after="80"/>
        <w:ind w:left="720" w:hanging="360"/>
      </w:pPr>
      <w:r>
        <w:rPr>
          <w:rFonts w:ascii="Calibri" w:hAnsi="Calibri"/>
          <w:sz w:val="22"/>
        </w:rPr>
        <w:t xml:space="preserve">• </w:t>
      </w:r>
      <w:r>
        <w:rPr>
          <w:rFonts w:ascii="Calibri" w:hAnsi="Calibri"/>
          <w:sz w:val="22"/>
        </w:rPr>
        <w:t>Hypercare period: 4 weeks with defined response times</w:t>
      </w:r>
    </w:p>
    <w:p>
      <w:pPr>
        <w:spacing w:after="80"/>
        <w:ind w:left="720" w:hanging="360"/>
      </w:pPr>
      <w:r>
        <w:rPr>
          <w:rFonts w:ascii="Calibri" w:hAnsi="Calibri"/>
          <w:sz w:val="22"/>
        </w:rPr>
        <w:t xml:space="preserve">• </w:t>
      </w:r>
      <w:r>
        <w:rPr>
          <w:rFonts w:ascii="Calibri" w:hAnsi="Calibri"/>
          <w:sz w:val="22"/>
        </w:rPr>
        <w:t>Extended support available via managed services contract</w:t>
      </w:r>
    </w:p>
    <w:p>
      <w:pPr>
        <w:pStyle w:val="Heading2"/>
        <w:spacing w:before="240" w:after="120"/>
        <w:ind w:left="0" w:firstLine="0"/>
      </w:pPr>
      <w:r>
        <w:t>11.5 Confidentiality</w:t>
      </w:r>
    </w:p>
    <w:p>
      <w:pPr>
        <w:spacing w:after="80"/>
        <w:ind w:left="720" w:hanging="360"/>
      </w:pPr>
      <w:r>
        <w:rPr>
          <w:rFonts w:ascii="Calibri" w:hAnsi="Calibri"/>
          <w:sz w:val="22"/>
        </w:rPr>
        <w:t xml:space="preserve">• </w:t>
      </w:r>
      <w:r>
        <w:rPr>
          <w:rFonts w:ascii="Calibri" w:hAnsi="Calibri"/>
          <w:sz w:val="22"/>
        </w:rPr>
        <w:t>All exchanged artifacts under NDA protection</w:t>
      </w:r>
    </w:p>
    <w:p>
      <w:pPr>
        <w:spacing w:after="80"/>
        <w:ind w:left="720" w:hanging="360"/>
      </w:pPr>
      <w:r>
        <w:rPr>
          <w:rFonts w:ascii="Calibri" w:hAnsi="Calibri"/>
          <w:sz w:val="22"/>
        </w:rPr>
        <w:t xml:space="preserve">• </w:t>
      </w:r>
      <w:r>
        <w:rPr>
          <w:rFonts w:ascii="Calibri" w:hAnsi="Calibri"/>
          <w:sz w:val="22"/>
        </w:rPr>
        <w:t>Client data handled per security requirements</w:t>
      </w:r>
    </w:p>
    <w:p>
      <w:pPr>
        <w:spacing w:after="80"/>
        <w:ind w:left="720" w:hanging="360"/>
      </w:pPr>
      <w:r>
        <w:rPr>
          <w:rFonts w:ascii="Calibri" w:hAnsi="Calibri"/>
          <w:sz w:val="22"/>
        </w:rPr>
        <w:t xml:space="preserve">• </w:t>
      </w:r>
      <w:r>
        <w:rPr>
          <w:rFonts w:ascii="Calibri" w:hAnsi="Calibri"/>
          <w:sz w:val="22"/>
        </w:rPr>
        <w:t>No disclosure to third parties without consent</w:t>
      </w:r>
    </w:p>
    <w:p>
      <w:pPr>
        <w:pStyle w:val="Heading2"/>
        <w:spacing w:before="240" w:after="120"/>
        <w:ind w:left="0" w:firstLine="0"/>
      </w:pPr>
      <w:r>
        <w:t>11.6 Termination</w:t>
      </w:r>
    </w:p>
    <w:p>
      <w:pPr>
        <w:spacing w:after="80"/>
        <w:ind w:left="720" w:hanging="360"/>
      </w:pPr>
      <w:r>
        <w:rPr>
          <w:rFonts w:ascii="Calibri" w:hAnsi="Calibri"/>
          <w:sz w:val="22"/>
        </w:rPr>
        <w:t xml:space="preserve">• </w:t>
      </w:r>
      <w:r>
        <w:rPr>
          <w:rFonts w:ascii="Calibri" w:hAnsi="Calibri"/>
          <w:sz w:val="22"/>
        </w:rPr>
        <w:t>Either party may terminate with 30 days written notice</w:t>
      </w:r>
    </w:p>
    <w:p>
      <w:pPr>
        <w:spacing w:after="80"/>
        <w:ind w:left="720" w:hanging="360"/>
      </w:pPr>
      <w:r>
        <w:rPr>
          <w:rFonts w:ascii="Calibri" w:hAnsi="Calibri"/>
          <w:sz w:val="22"/>
        </w:rPr>
        <w:t xml:space="preserve">• </w:t>
      </w:r>
      <w:r>
        <w:rPr>
          <w:rFonts w:ascii="Calibri" w:hAnsi="Calibri"/>
          <w:sz w:val="22"/>
        </w:rPr>
        <w:t>Payment due for all completed work</w:t>
      </w:r>
    </w:p>
    <w:p>
      <w:pPr>
        <w:spacing w:after="80"/>
        <w:ind w:left="720" w:hanging="360"/>
      </w:pPr>
      <w:r>
        <w:rPr>
          <w:rFonts w:ascii="Calibri" w:hAnsi="Calibri"/>
          <w:sz w:val="22"/>
        </w:rPr>
        <w:t xml:space="preserve">• </w:t>
      </w:r>
      <w:r>
        <w:rPr>
          <w:rFonts w:ascii="Calibri" w:hAnsi="Calibri"/>
          <w:sz w:val="22"/>
        </w:rPr>
        <w:t>Deliverables transferred upon termination</w:t>
      </w:r>
    </w:p>
    <w:p>
      <w:pPr>
        <w:pStyle w:val="Heading1"/>
        <w:spacing w:before="160" w:after="120"/>
        <w:ind w:left="0" w:firstLine="0"/>
      </w:pPr>
      <w:r>
        <w:t>12 Sign-Off</w:t>
      </w:r>
    </w:p>
    <w:p>
      <w:pPr>
        <w:spacing w:after="240"/>
      </w:pPr>
      <w:r>
        <w:rPr>
          <w:rFonts w:ascii="Calibri" w:hAnsi="Calibri"/>
          <w:sz w:val="22"/>
        </w:rPr>
        <w:t>By signing below, both parties agree to the scope, approach, and terms outlined in this Statement of Work.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680"/>
            <w:shd w:fill="E8F0F8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2"/>
              </w:rPr>
              <w:t>CLIENT</w:t>
            </w:r>
          </w:p>
        </w:tc>
        <w:tc>
          <w:tcPr>
            <w:tcW w:type="dxa" w:w="4680"/>
            <w:shd w:fill="E8F0F8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2"/>
              </w:rPr>
              <w:t>CONSULTING COMPANY</w:t>
            </w:r>
          </w:p>
        </w:tc>
      </w:tr>
      <w:tr>
        <w:tc>
          <w:tcPr>
            <w:tcW w:type="dxa" w:w="4680"/>
            <w:vAlign w:val="bottom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360" w:after="120"/>
              <w:jc w:val="left"/>
            </w:pPr>
            <w:r>
              <w:rPr>
                <w:rFonts w:ascii="Calibri" w:hAnsi="Calibri"/>
                <w:sz w:val="22"/>
              </w:rPr>
              <w:t>Signature: ____________________</w:t>
            </w:r>
          </w:p>
        </w:tc>
        <w:tc>
          <w:tcPr>
            <w:tcW w:type="dxa" w:w="4680"/>
            <w:vAlign w:val="bottom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360" w:after="120"/>
              <w:jc w:val="left"/>
            </w:pPr>
            <w:r>
              <w:rPr>
                <w:rFonts w:ascii="Calibri" w:hAnsi="Calibri"/>
                <w:sz w:val="22"/>
              </w:rPr>
              <w:t>Signature: ____________________</w:t>
            </w:r>
          </w:p>
        </w:tc>
      </w:tr>
      <w:tr>
        <w:tc>
          <w:tcPr>
            <w:tcW w:type="dxa" w:w="4680"/>
            <w:vAlign w:val="bottom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360" w:after="120"/>
              <w:jc w:val="left"/>
            </w:pPr>
            <w:r>
              <w:rPr>
                <w:rFonts w:ascii="Calibri" w:hAnsi="Calibri"/>
                <w:sz w:val="22"/>
              </w:rPr>
              <w:t>Name: ____________________</w:t>
            </w:r>
          </w:p>
        </w:tc>
        <w:tc>
          <w:tcPr>
            <w:tcW w:type="dxa" w:w="4680"/>
            <w:vAlign w:val="bottom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360" w:after="120"/>
              <w:jc w:val="left"/>
            </w:pPr>
            <w:r>
              <w:rPr>
                <w:rFonts w:ascii="Calibri" w:hAnsi="Calibri"/>
                <w:sz w:val="22"/>
              </w:rPr>
              <w:t>Name: ____________________</w:t>
            </w:r>
          </w:p>
        </w:tc>
      </w:tr>
      <w:tr>
        <w:tc>
          <w:tcPr>
            <w:tcW w:type="dxa" w:w="4680"/>
            <w:vAlign w:val="bottom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360" w:after="120"/>
              <w:jc w:val="left"/>
            </w:pPr>
            <w:r>
              <w:rPr>
                <w:rFonts w:ascii="Calibri" w:hAnsi="Calibri"/>
                <w:sz w:val="22"/>
              </w:rPr>
              <w:t>Title: ____________________</w:t>
            </w:r>
          </w:p>
        </w:tc>
        <w:tc>
          <w:tcPr>
            <w:tcW w:type="dxa" w:w="4680"/>
            <w:vAlign w:val="bottom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360" w:after="120"/>
              <w:jc w:val="left"/>
            </w:pPr>
            <w:r>
              <w:rPr>
                <w:rFonts w:ascii="Calibri" w:hAnsi="Calibri"/>
                <w:sz w:val="22"/>
              </w:rPr>
              <w:t>Title: ____________________</w:t>
            </w:r>
          </w:p>
        </w:tc>
      </w:tr>
      <w:tr>
        <w:tc>
          <w:tcPr>
            <w:tcW w:type="dxa" w:w="4680"/>
            <w:vAlign w:val="bottom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360" w:after="120"/>
              <w:jc w:val="left"/>
            </w:pPr>
            <w:r>
              <w:rPr>
                <w:rFonts w:ascii="Calibri" w:hAnsi="Calibri"/>
                <w:sz w:val="22"/>
              </w:rPr>
              <w:t>Date: ____________________</w:t>
            </w:r>
          </w:p>
        </w:tc>
        <w:tc>
          <w:tcPr>
            <w:tcW w:type="dxa" w:w="4680"/>
            <w:vAlign w:val="bottom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360" w:after="120"/>
              <w:jc w:val="left"/>
            </w:pPr>
            <w:r>
              <w:rPr>
                <w:rFonts w:ascii="Calibri" w:hAnsi="Calibri"/>
                <w:sz w:val="22"/>
              </w:rPr>
              <w:t>Date: ____________________</w:t>
            </w:r>
          </w:p>
        </w:tc>
      </w:tr>
    </w:tbl>
    <w:p>
      <w:pPr>
        <w:spacing w:after="240"/>
      </w:pPr>
    </w:p>
    <w:p>
      <w:pPr>
        <w:spacing w:after="160"/>
      </w:pPr>
      <w:r>
        <w:rPr>
          <w:rFonts w:ascii="Calibri" w:hAnsi="Calibri"/>
          <w:i/>
          <w:sz w:val="22"/>
        </w:rPr>
        <w:t>This Statement of Work constitutes the complete agreement between the parties for the services described herein.</w:t>
      </w:r>
    </w:p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828800" cy="39117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3911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color w:val="1F4E78"/>
          <w:sz w:val="24"/>
        </w:rPr>
        <w:t>eoframework.org</w:t>
      </w:r>
    </w:p>
    <w:p/>
    <w:sectPr w:rsidR="00FC693F" w:rsidRPr="0006063C" w:rsidSect="00034616">
      <w:headerReference w:type="default" r:id="rId13"/>
      <w:footerReference w:type="default" r:id="rId14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360" w:val="right"/>
      </w:tabs>
      <w:spacing w:before="0" w:after="0" w:line="240" w:lineRule="auto"/>
      <w:jc w:val="left"/>
    </w:pPr>
    <w:r>
      <w:drawing>
        <wp:inline xmlns:a="http://schemas.openxmlformats.org/drawingml/2006/main" xmlns:pic="http://schemas.openxmlformats.org/drawingml/2006/picture">
          <wp:extent cx="889000" cy="254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consulting_company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89000" cy="254000"/>
                  </a:xfrm>
                  <a:prstGeom prst="rect"/>
                </pic:spPr>
              </pic:pic>
            </a:graphicData>
          </a:graphic>
        </wp:inline>
      </w:drawing>
    </w:r>
    <w:r>
      <w:tab/>
      <w:tab/>
    </w:r>
    <w:r>
      <w:rPr>
        <w:rFonts w:ascii="Calibri" w:hAnsi="Calibri"/>
        <w:color w:val="808080"/>
        <w:sz w:val="24"/>
      </w:rPr>
      <w:t xml:space="preserve">Page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right"/>
      </w:tabs>
      <w:spacing w:before="0" w:after="0" w:line="240" w:lineRule="auto"/>
      <w:jc w:val="left"/>
    </w:pPr>
    <w:r>
      <w:rPr>
        <w:rFonts w:ascii="Calibri" w:hAnsi="Calibri"/>
        <w:color w:val="808080"/>
        <w:sz w:val="24"/>
      </w:rPr>
      <w:t>Statement of Work</w:t>
    </w:r>
    <w:r>
      <w:tab/>
      <w:tab/>
    </w:r>
    <w:r>
      <w:rPr>
        <w:rFonts w:ascii="Calibri" w:hAnsi="Calibri"/>
        <w:color w:val="808080"/>
        <w:sz w:val="24"/>
      </w:rPr>
      <w:t>Azure Virtual Desktop Implementation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Calibri" w:hAnsi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276" w:lineRule="auto"/>
      <w:outlineLvl w:val="0"/>
    </w:pPr>
    <w:rPr>
      <w:rFonts w:asciiTheme="majorHAnsi" w:eastAsiaTheme="majorEastAsia" w:hAnsiTheme="majorHAnsi" w:cstheme="majorBidi" w:ascii="Calibri" w:hAnsi="Calibri"/>
      <w:b/>
      <w:bCs/>
      <w:smallCaps w:val="0"/>
      <w:color w:val="1F4E78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 w:line="276" w:lineRule="auto"/>
      <w:outlineLvl w:val="1"/>
    </w:pPr>
    <w:rPr>
      <w:rFonts w:asciiTheme="majorHAnsi" w:eastAsiaTheme="majorEastAsia" w:hAnsiTheme="majorHAnsi" w:cstheme="majorBidi" w:ascii="Calibri" w:hAnsi="Calibri"/>
      <w:b/>
      <w:bCs/>
      <w:smallCaps w:val="0"/>
      <w:color w:val="2E5C8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76" w:lineRule="auto"/>
      <w:outlineLvl w:val="2"/>
    </w:pPr>
    <w:rPr>
      <w:rFonts w:asciiTheme="majorHAnsi" w:eastAsiaTheme="majorEastAsia" w:hAnsiTheme="majorHAnsi" w:cstheme="majorBidi" w:ascii="Calibri" w:hAnsi="Calibri"/>
      <w:b/>
      <w:bCs/>
      <w:i/>
      <w:smallCaps w:val="0"/>
      <w:color w:val="40404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20" w:after="40" w:line="276" w:lineRule="auto"/>
      <w:outlineLvl w:val="3"/>
    </w:pPr>
    <w:rPr>
      <w:rFonts w:asciiTheme="majorHAnsi" w:eastAsiaTheme="majorEastAsia" w:hAnsiTheme="majorHAnsi" w:cstheme="majorBidi" w:ascii="Calibri" w:hAnsi="Calibri"/>
      <w:b w:val="0"/>
      <w:bCs/>
      <w:i/>
      <w:iCs/>
      <w:smallCaps w:val="0"/>
      <w:color w:val="5B6770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 Light" w:hAnsi="Calibri Light"/>
      <w:b w:val="0"/>
      <w:color w:val="1F4E78"/>
      <w:spacing w:val="5"/>
      <w:kern w:val="28"/>
      <w:sz w:val="6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header" Target="header1.xml"/><Relationship Id="rId14" Type="http://schemas.openxmlformats.org/officeDocument/2006/relationships/footer" Target="footer1.xml"/><Relationship Id="rId15" Type="http://schemas.openxmlformats.org/officeDocument/2006/relationships/image" Target="media/image5.png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