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Juniper SRX Firewall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27,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Juniper SRX Firewall Platform implementation. The solution delivers next-generation firewall infrastructure with 80 Gbps throughput, advanced threat prevention, and unified security management across datacenter and branch locations.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for deployment of Juniper SRX Series firewalls, including datacenter SRX4600 high-availability pair, 10 branch SRX300 firewalls, advanced security services (IPS, ATP Cloud, SecIntel), and centralized management via Junos Space Security Director.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SRX4600 datacenter firewall HA pair with 80 Gbps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SRX300 branch firewalls with SD-WAN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policy migration (500+ firewall rules)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threat prevention services (IPS, ATP Cloud, SecIntel)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SSL inspection configuration for encrypted traffic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Junos Space Security Director centralized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Site-to-site VPN (30 tunnels) and SSL VPN (100 users)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(Splunk) and monitoring configuration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WAN circuit provisioning or bandwidth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Decommissioning of legacy firewall equipment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operational support beyond 30-day warranty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existing firewall configurations in exportable format for policy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Datacenter rack space, power (dual circuits), and cooling capacity available for SRX4600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and IP addressing plan provided for all deployment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Maintenance windows available during off-peak hours for traffic migration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and monitoring systems operational with API/syslog access for integration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 - Project scope and investment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Briefing - Architecture overview and business case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Juniper SRX Series Technical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security policies and compliance requirements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 for the SRX Firewall Platform implementation.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Enhancement:</w:t>
      </w:r>
      <w:r>
        <w:rPr>
          <w:rFonts w:ascii="Calibri" w:hAnsi="Calibri"/>
          <w:sz w:val="24"/>
        </w:rPr>
        <w:t xml:space="preserve"> Replace aging 10 Gbps firewall infrastructure with 80 Gbps SRX4600 platform, achieving 8x throughput improvement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Reduce security licensing costs by 40% while gaining advanced threat prevention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Unified Management:</w:t>
      </w:r>
      <w:r>
        <w:rPr>
          <w:rFonts w:ascii="Calibri" w:hAnsi="Calibri"/>
          <w:sz w:val="24"/>
        </w:rPr>
        <w:t xml:space="preserve"> Consolidate management of 20+ datacenter and branch firewalls under single Security Director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Multi-Cloud Security:</w:t>
      </w:r>
      <w:r>
        <w:rPr>
          <w:rFonts w:ascii="Calibri" w:hAnsi="Calibri"/>
          <w:sz w:val="24"/>
        </w:rPr>
        <w:t xml:space="preserve"> Enable seamless cloud connectivity with native AWS, Azure, and GCP VPN integration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Uptime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Throughput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 Gbps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 Throughput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 Gbps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 Failover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1 second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SSL Inspection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 Gbps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PCI DSS compliance for payment card data protection and network 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for security controls and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logging with 90-day hot retention for security event correlation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for management traffic and VPN tunnels using AES-256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SRX4600 HA pair operational with 80 Gbps throughput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500+ security policies migrated with zero business disruption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branch SRX300 firewalls deployed with centralized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Advanced security services enabled (IPS, ATP Cloud, SecIntel)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functional with security events forwarded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firewall infrastructure that the SRX platform will replace, including performance baselines and identified gaps.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security infrastructure consists of aging firewall appliances requiring modernization.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Datacenter Firewall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Perimeter security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10 Gbps appliance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replaced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Firewalls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security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Mixed vendor appliances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replaced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Concentrator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Remote access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Standalone device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consolidated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Console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platform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replaced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current infrastructure consists of the following components that will be replaced by the SRX platform.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Datacenter Firewalls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Gbps throughput, limited IPS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of support approaching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Firewalls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Various models, inconsistent policies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Mixed vendor environment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Endpoints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Site-to-site tunnels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 configuration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Remote Users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SSL VPN users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Separate VPN platform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current environment has the following external dependencies that must be considered during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for user authentication and group-based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Splunk SIEM for security event logging and correlation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NetFlow collectors for traffic visibility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environments (AWS, Azure, GCP) requiring VPN connectivity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network uses traditional hub-and-spoke topology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DMZ for public-facing services with dedicated firewall context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Internal network segments for application and database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Site-to-site VPN for branch office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SSL VPN for remote user access through separate concentrator</w:t>
      </w:r>
    </w:p>
    <w:p>
      <w:pPr>
        <w:pStyle w:val="Heading2"/>
        <w:spacing w:before="240" w:after="120"/>
        <w:ind w:left="0"/>
      </w:pPr>
      <w:r>
        <w:t>3.5 Security Posture</w:t>
      </w:r>
    </w:p>
    <w:p>
      <w:r>
        <w:rPr>
          <w:rFonts w:ascii="Calibri" w:hAnsi="Calibri"/>
          <w:sz w:val="24"/>
        </w:rPr>
        <w:t>The current security controls provide a baseline that will be enhanced in the target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Stateful firewall inspection at Layer 3/4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Basic IPS with limited signature coverage (performance constrained)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SSL inspection disabled due to throughput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Manual policy management across multiple platforms</w:t>
      </w:r>
    </w:p>
    <w:p>
      <w:pPr>
        <w:pStyle w:val="Heading2"/>
        <w:spacing w:before="240" w:after="120"/>
        <w:ind w:left="0"/>
      </w:pPr>
      <w:r>
        <w:t>3.6 Performance Baseline</w:t>
      </w:r>
    </w:p>
    <w:p>
      <w:r>
        <w:rPr>
          <w:rFonts w:ascii="Calibri" w:hAnsi="Calibri"/>
          <w:sz w:val="24"/>
        </w:rPr>
        <w:t>Current system performance metrics establish the baseline for improvement targets.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throughput: 10 Gbps (maximum capacity reached)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 inspection: Limited to 2 Gbps (disabled for most traffic)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SSL inspection: Not enabled due to performance impact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Concurrent sessions: 500,000 (insufficient for growth)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time: 4+ hours (manual correlation)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deploys Juniper SRX Series firewalls with high-performance security services, unified management, and seamless multi-cloud integration to address current infrastructure limitations.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First:</w:t>
      </w:r>
      <w:r>
        <w:rPr>
          <w:rFonts w:ascii="Calibri" w:hAnsi="Calibri"/>
          <w:sz w:val="24"/>
        </w:rPr>
        <w:t xml:space="preserve"> Size infrastructure for 80 Gbps with full security services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Availability:</w:t>
      </w:r>
      <w:r>
        <w:rPr>
          <w:rFonts w:ascii="Calibri" w:hAnsi="Calibri"/>
          <w:sz w:val="24"/>
        </w:rPr>
        <w:t xml:space="preserve"> Eliminate single points of failure with active/passive clustering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Zero-Downtime Migration:</w:t>
      </w:r>
      <w:r>
        <w:rPr>
          <w:rFonts w:ascii="Calibri" w:hAnsi="Calibri"/>
          <w:sz w:val="24"/>
        </w:rPr>
        <w:t xml:space="preserve"> Parallel deployment enables instant rollback capability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Unified Management:</w:t>
      </w:r>
      <w:r>
        <w:rPr>
          <w:rFonts w:ascii="Calibri" w:hAnsi="Calibri"/>
          <w:sz w:val="24"/>
        </w:rPr>
        <w:t xml:space="preserve"> Single pane of glass for all firewall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Defense in Depth:</w:t>
      </w:r>
      <w:r>
        <w:rPr>
          <w:rFonts w:ascii="Calibri" w:hAnsi="Calibri"/>
          <w:sz w:val="24"/>
        </w:rPr>
        <w:t xml:space="preserve"> Layered security with IPS, ATP Cloud, and SecIntel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to address scalability and reliability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Hub-and-spoke with datacenter SRX4600 HA pair as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 Pattern:</w:t>
      </w:r>
      <w:r>
        <w:rPr>
          <w:rFonts w:ascii="Calibri" w:hAnsi="Calibri"/>
          <w:sz w:val="24"/>
        </w:rPr>
        <w:t xml:space="preserve"> SD-WAN enabled SRX300 with application-aware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Pattern:</w:t>
      </w:r>
      <w:r>
        <w:rPr>
          <w:rFonts w:ascii="Calibri" w:hAnsi="Calibri"/>
          <w:sz w:val="24"/>
        </w:rPr>
        <w:t xml:space="preserve"> Multi-layer inspection with IPS, SSL, and cloud sandbox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Pattern:</w:t>
      </w:r>
      <w:r>
        <w:rPr>
          <w:rFonts w:ascii="Calibri" w:hAnsi="Calibri"/>
          <w:sz w:val="24"/>
        </w:rPr>
        <w:t xml:space="preserve"> Centralized Security Director with policy push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logical components, each with specific responsibilities and scaling characteristics.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Datacenter Firewall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Perimeter security, 80 Gbps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SRX4600 HA pair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Power, rack, network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 clustering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Firewalls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security with SD-WAN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SRX300 (10 units)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circuits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Per-site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Services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IPS, ATP, SecIntel, SSL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 integrated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connectivity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License-based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policy and logging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Director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 infrastructure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Services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Site-to-site and remote access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 integrated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Session-based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Technology Stack</w:t>
      </w:r>
    </w:p>
    <w:p>
      <w:r>
        <w:rPr>
          <w:rFonts w:ascii="Calibri" w:hAnsi="Calibri"/>
          <w:sz w:val="24"/>
        </w:rPr>
        <w:t>The technology stack has been selected based on requirements for performance, security, and alignment with organizational standards.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Rationale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Platform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Juniper SRX4600, SRX300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 Gbps throughput, integrated security services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Junos OS 21.x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Proven stability, advanced security features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Threat Prevention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IPS, ATP Cloud, SecIntel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 threat intelligence, zero-day protection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Junos Space Security Director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Unified policy management, compliance reporting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Splunk integration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event correlation, operational visibility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Technology Stack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controls, compliance mappings, and governance mechanisms implemented in the SRX Firewall Platform solution.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r>
        <w:rPr>
          <w:rFonts w:ascii="Calibri" w:hAnsi="Calibri"/>
          <w:sz w:val="24"/>
        </w:rPr>
        <w:t>Access control follows a role-based model with centralized authentication for firewall administration.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TACACS+ integration for administrative access with fallback local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Authorization:</w:t>
      </w:r>
      <w:r>
        <w:rPr>
          <w:rFonts w:ascii="Calibri" w:hAnsi="Calibri"/>
          <w:sz w:val="24"/>
        </w:rPr>
        <w:t xml:space="preserve"> Role-based access control with operator, admin, and super-admin roles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MFA:</w:t>
      </w:r>
      <w:r>
        <w:rPr>
          <w:rFonts w:ascii="Calibri" w:hAnsi="Calibri"/>
          <w:sz w:val="24"/>
        </w:rPr>
        <w:t xml:space="preserve"> Required for all administrative access via TACACS+ server policy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Accounts:</w:t>
      </w:r>
      <w:r>
        <w:rPr>
          <w:rFonts w:ascii="Calibri" w:hAnsi="Calibri"/>
          <w:sz w:val="24"/>
        </w:rPr>
        <w:t xml:space="preserve"> Dedicated accounts for Security Director communication and SIEM integration</w:t>
      </w:r>
    </w:p>
    <w:p>
      <w:pPr>
        <w:pStyle w:val="Heading3"/>
        <w:spacing w:before="160" w:after="120"/>
        <w:ind w:left="0"/>
      </w:pPr>
      <w:r>
        <w:t>5.1.1 Role Definitions</w:t>
      </w:r>
    </w:p>
    <w:p>
      <w:r>
        <w:rPr>
          <w:rFonts w:ascii="Calibri" w:hAnsi="Calibri"/>
          <w:sz w:val="24"/>
        </w:rPr>
        <w:t>The following roles define access levels within the firewall management system.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Super-Admin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system access, configuration changes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SRX devices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management, monitoring, reporting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Assigned device groups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access, basic troubleshooting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Assigned device groups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access, compliance reporting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devices (read-only)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2"/>
        <w:spacing w:before="240" w:after="120"/>
        <w:ind w:left="0"/>
      </w:pPr>
      <w:r>
        <w:t>5.2 Secrets Management</w:t>
      </w:r>
    </w:p>
    <w:p>
      <w:r>
        <w:rPr>
          <w:rFonts w:ascii="Calibri" w:hAnsi="Calibri"/>
          <w:sz w:val="24"/>
        </w:rPr>
        <w:t>All sensitive credentials are managed through secure storage and regular rotation.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Director credentials stored with encryption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TACACS+ shared secrets rotated quarterly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pre-shared keys managed through Security Director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keys for SIEM integration stored in secure vault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r>
        <w:rPr>
          <w:rFonts w:ascii="Calibri" w:hAnsi="Calibri"/>
          <w:sz w:val="24"/>
        </w:rPr>
        <w:t>Network security implements defense-in-depth with multiple layers of protection across all SRX devices.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Zone Segmentation:</w:t>
      </w:r>
      <w:r>
        <w:rPr>
          <w:rFonts w:ascii="Calibri" w:hAnsi="Calibri"/>
          <w:sz w:val="24"/>
        </w:rPr>
        <w:t xml:space="preserve"> Separate security zones for DMZ, internal, management, and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Inter-Zone Policies:</w:t>
      </w:r>
      <w:r>
        <w:rPr>
          <w:rFonts w:ascii="Calibri" w:hAnsi="Calibri"/>
          <w:sz w:val="24"/>
        </w:rPr>
        <w:t xml:space="preserve"> Explicit permit with default deny between all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Identification:</w:t>
      </w:r>
      <w:r>
        <w:rPr>
          <w:rFonts w:ascii="Calibri" w:hAnsi="Calibri"/>
          <w:sz w:val="24"/>
        </w:rPr>
        <w:t xml:space="preserve"> AppSecure for Layer 7 application detection and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DDoS Protection:</w:t>
      </w:r>
      <w:r>
        <w:rPr>
          <w:rFonts w:ascii="Calibri" w:hAnsi="Calibri"/>
          <w:sz w:val="24"/>
        </w:rPr>
        <w:t xml:space="preserve"> SYN flood protection and connection rate limiting</w:t>
      </w:r>
    </w:p>
    <w:p>
      <w:pPr>
        <w:pStyle w:val="Heading2"/>
        <w:spacing w:before="240" w:after="120"/>
        <w:ind w:left="0"/>
      </w:pPr>
      <w:r>
        <w:t>5.4 Data Protection</w:t>
      </w:r>
    </w:p>
    <w:p>
      <w:r>
        <w:rPr>
          <w:rFonts w:ascii="Calibri" w:hAnsi="Calibri"/>
          <w:sz w:val="24"/>
        </w:rPr>
        <w:t>Data protection controls ensure confidentiality and integrity for management and user traffic.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at Rest:</w:t>
      </w:r>
      <w:r>
        <w:rPr>
          <w:rFonts w:ascii="Calibri" w:hAnsi="Calibri"/>
          <w:sz w:val="24"/>
        </w:rPr>
        <w:t xml:space="preserve"> Junos OS encrypted storage for configuration 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in Transit:</w:t>
      </w:r>
      <w:r>
        <w:rPr>
          <w:rFonts w:ascii="Calibri" w:hAnsi="Calibri"/>
          <w:sz w:val="24"/>
        </w:rPr>
        <w:t xml:space="preserve"> TLS 1.3 for management, AES-256 for VPN tunnels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Management:</w:t>
      </w:r>
      <w:r>
        <w:rPr>
          <w:rFonts w:ascii="Calibri" w:hAnsi="Calibri"/>
          <w:sz w:val="24"/>
        </w:rPr>
        <w:t xml:space="preserve"> IKE v2 with perfect forward secrecy for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Logging Security:</w:t>
      </w:r>
      <w:r>
        <w:rPr>
          <w:rFonts w:ascii="Calibri" w:hAnsi="Calibri"/>
          <w:sz w:val="24"/>
        </w:rPr>
        <w:t xml:space="preserve"> Encrypted syslog forwarding to SIEM</w:t>
      </w:r>
    </w:p>
    <w:p>
      <w:pPr>
        <w:pStyle w:val="Heading2"/>
        <w:spacing w:before="240" w:after="120"/>
        <w:ind w:left="0"/>
      </w:pPr>
      <w:r>
        <w:t>5.5 Compliance Mappings</w:t>
      </w:r>
    </w:p>
    <w:p>
      <w:r>
        <w:rPr>
          <w:rFonts w:ascii="Calibri" w:hAnsi="Calibri"/>
          <w:sz w:val="24"/>
        </w:rPr>
        <w:t>The following table maps compliance requirements to specific implementation controls.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Framework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PCI DSS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segmentation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Zone-based policies with explicit permit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PCI DSS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Intrusion detection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 enabled on all inter-zone traffic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TACACS+ with role-based authorization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 logging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Comprehensive logging to Splunk SIEM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Compliance Requirements</w:t>
      </w:r>
    </w:p>
    <w:p>
      <w:pPr>
        <w:pStyle w:val="Heading2"/>
        <w:spacing w:before="240" w:after="120"/>
        <w:ind w:left="0"/>
      </w:pPr>
      <w:r>
        <w:t>5.6 Audit Logging &amp; SIEM Integration</w:t>
      </w:r>
    </w:p>
    <w:p>
      <w:r>
        <w:rPr>
          <w:rFonts w:ascii="Calibri" w:hAnsi="Calibri"/>
          <w:sz w:val="24"/>
        </w:rPr>
        <w:t>Comprehensive audit logging supports security monitoring and compliance requirements through Splunk SIEM integration.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authentication events logged with username and source 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changes captured with before/after configuration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events (IPS, ATP) forwarded in real-time via syslog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retention: 90 days hot storage, 1 year archive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NetFlow export for traffic visibility and anomaly detection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defines the data flow, logging architecture, and policy migration approach for the SRX Firewall Platform implementation.</w:t>
      </w:r>
    </w:p>
    <w:p>
      <w:pPr>
        <w:pStyle w:val="Heading2"/>
        <w:spacing w:before="240" w:after="120"/>
        <w:ind w:left="0"/>
      </w:pPr>
      <w:r>
        <w:t>6.1 Data Model</w:t>
      </w:r>
    </w:p>
    <w:p>
      <w:pPr>
        <w:pStyle w:val="Heading3"/>
        <w:spacing w:before="160" w:after="120"/>
        <w:ind w:left="0"/>
      </w:pPr>
      <w:r>
        <w:t>6.1.1 Conceptual Model</w:t>
      </w:r>
    </w:p>
    <w:p>
      <w:r>
        <w:rPr>
          <w:rFonts w:ascii="Calibri" w:hAnsi="Calibri"/>
          <w:sz w:val="24"/>
        </w:rPr>
        <w:t>The solution manages the following core data elements: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Policies:</w:t>
      </w:r>
      <w:r>
        <w:rPr>
          <w:rFonts w:ascii="Calibri" w:hAnsi="Calibri"/>
          <w:sz w:val="24"/>
        </w:rPr>
        <w:t xml:space="preserve"> 500+ firewall rules migrated from legacy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Logs:</w:t>
      </w:r>
      <w:r>
        <w:rPr>
          <w:rFonts w:ascii="Calibri" w:hAnsi="Calibri"/>
          <w:sz w:val="24"/>
        </w:rPr>
        <w:t xml:space="preserve"> IPS events, traffic logs, system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 Data:</w:t>
      </w:r>
      <w:r>
        <w:rPr>
          <w:rFonts w:ascii="Calibri" w:hAnsi="Calibri"/>
          <w:sz w:val="24"/>
        </w:rPr>
        <w:t xml:space="preserve"> Device configurations, policy sets, object definitions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Threat Intelligence:</w:t>
      </w:r>
      <w:r>
        <w:rPr>
          <w:rFonts w:ascii="Calibri" w:hAnsi="Calibri"/>
          <w:sz w:val="24"/>
        </w:rPr>
        <w:t xml:space="preserve"> SecIntel feeds, ATP Cloud verdicts</w:t>
      </w:r>
    </w:p>
    <w:p>
      <w:pPr>
        <w:pStyle w:val="Heading3"/>
        <w:spacing w:before="160" w:after="120"/>
        <w:ind w:left="0"/>
      </w:pPr>
      <w:r>
        <w:t>6.1.2 Logical Model</w:t>
      </w:r>
    </w:p>
    <w:p>
      <w:r>
        <w:rPr>
          <w:rFonts w:ascii="Calibri" w:hAnsi="Calibri"/>
          <w:sz w:val="24"/>
        </w:rPr>
        <w:t>The logical data model defines the primary entities and their relationships within the security management system.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Entity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Attributes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Relationships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Volume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Policy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source, dest, action, services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References address objects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500+ rules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Address Object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Name, IP/subnet, zone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Used by policies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2,000+ objects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 Object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Name, protocol, 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Used by policies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500+ services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Timestamp, source, dest, action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References policies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10GB/day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Data Model Entities</w:t>
      </w:r>
    </w:p>
    <w:p>
      <w:pPr>
        <w:pStyle w:val="Heading2"/>
        <w:spacing w:before="240" w:after="120"/>
        <w:ind w:left="0"/>
      </w:pPr>
      <w:r>
        <w:t>6.2 Data Flow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Traffic Ingestion:</w:t>
      </w:r>
      <w:r>
        <w:rPr>
          <w:rFonts w:ascii="Calibri" w:hAnsi="Calibri"/>
          <w:sz w:val="24"/>
        </w:rPr>
        <w:t xml:space="preserve"> Network traffic enters SRX through designated zones and interfaces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Policy Evaluation:</w:t>
      </w:r>
      <w:r>
        <w:rPr>
          <w:rFonts w:ascii="Calibri" w:hAnsi="Calibri"/>
          <w:sz w:val="24"/>
        </w:rPr>
        <w:t xml:space="preserve"> Traffic evaluated against security policies in rule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Security Inspection:</w:t>
      </w:r>
      <w:r>
        <w:rPr>
          <w:rFonts w:ascii="Calibri" w:hAnsi="Calibri"/>
          <w:sz w:val="24"/>
        </w:rPr>
        <w:t xml:space="preserve"> IPS, ATP Cloud, and SecIntel inspection for permitted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Logging:</w:t>
      </w:r>
      <w:r>
        <w:rPr>
          <w:rFonts w:ascii="Calibri" w:hAnsi="Calibri"/>
          <w:sz w:val="24"/>
        </w:rPr>
        <w:t xml:space="preserve"> All traffic and security events logged to Splunk SIEM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Threat Response:</w:t>
      </w:r>
      <w:r>
        <w:rPr>
          <w:rFonts w:ascii="Calibri" w:hAnsi="Calibri"/>
          <w:sz w:val="24"/>
        </w:rPr>
        <w:t xml:space="preserve"> Automated blocking for ATP Cloud identified threats</w:t>
      </w:r>
    </w:p>
    <w:p>
      <w:pPr>
        <w:pStyle w:val="Heading2"/>
        <w:spacing w:before="240" w:after="120"/>
        <w:ind w:left="0"/>
      </w:pPr>
      <w:r>
        <w:t>6.3 Data Migration Strategy</w:t>
      </w:r>
    </w:p>
    <w:p>
      <w:r>
        <w:rPr>
          <w:rFonts w:ascii="Calibri" w:hAnsi="Calibri"/>
          <w:sz w:val="24"/>
        </w:rPr>
        <w:t>Security policy migration follows a phased approach to minimize risk and ensure policy accuracy.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Zone-by-zone migration with parallel infrastructure during transition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Policy testing in lab environment before production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Instant rollback capability via routing changes during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Cutover:</w:t>
      </w:r>
      <w:r>
        <w:rPr>
          <w:rFonts w:ascii="Calibri" w:hAnsi="Calibri"/>
          <w:sz w:val="24"/>
        </w:rPr>
        <w:t xml:space="preserve"> Phased zone migration over 4-week datacenter deployment period</w:t>
      </w:r>
    </w:p>
    <w:p>
      <w:pPr>
        <w:pStyle w:val="Heading2"/>
        <w:spacing w:before="240" w:after="120"/>
        <w:ind w:left="0"/>
      </w:pPr>
      <w:r>
        <w:t>6.4 Data Governance</w:t>
      </w:r>
    </w:p>
    <w:p>
      <w:r>
        <w:rPr>
          <w:rFonts w:ascii="Calibri" w:hAnsi="Calibri"/>
          <w:sz w:val="24"/>
        </w:rPr>
        <w:t>Data governance policies ensure proper handling, retention, and compliance for security data.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Classification:</w:t>
      </w:r>
      <w:r>
        <w:rPr>
          <w:rFonts w:ascii="Calibri" w:hAnsi="Calibri"/>
          <w:sz w:val="24"/>
        </w:rPr>
        <w:t xml:space="preserve"> Security logs classified as Confidential with restricted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90 days hot storage, 1 year cold archive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Quality:</w:t>
      </w:r>
      <w:r>
        <w:rPr>
          <w:rFonts w:ascii="Calibri" w:hAnsi="Calibri"/>
          <w:sz w:val="24"/>
        </w:rPr>
        <w:t xml:space="preserve"> Automated log validation and alerting for missing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Access:</w:t>
      </w:r>
      <w:r>
        <w:rPr>
          <w:rFonts w:ascii="Calibri" w:hAnsi="Calibri"/>
          <w:sz w:val="24"/>
        </w:rPr>
        <w:t xml:space="preserve"> Role-based access to logs via Splunk with audit trail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the integration patterns, APIs, and external system connections for the SRX Firewall Platform.</w:t>
      </w:r>
    </w:p>
    <w:p>
      <w:pPr>
        <w:pStyle w:val="Heading2"/>
        <w:spacing w:before="240" w:after="120"/>
        <w:ind w:left="0"/>
      </w:pPr>
      <w:r>
        <w:t>7.1 External System Integrations</w:t>
      </w:r>
    </w:p>
    <w:p>
      <w:r>
        <w:rPr>
          <w:rFonts w:ascii="Calibri" w:hAnsi="Calibri"/>
          <w:sz w:val="24"/>
        </w:rPr>
        <w:t>The solution integrates with the following external systems using standardized protocols and error handling.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Error Handling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SLA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Splunk SIEM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Syslog/TLS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CEF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Buffer and retry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Active Directory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LDAP/S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Native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to local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TACACS+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TACACS+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Native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Fallback local auth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ATP Cloud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HTTPS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JSON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verdict locally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SecIntel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Scheduled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HTTPS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Feed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 cached signatures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System Integrations</w:t>
      </w:r>
    </w:p>
    <w:p>
      <w:pPr>
        <w:pStyle w:val="Heading2"/>
        <w:spacing w:before="240" w:after="120"/>
        <w:ind w:left="0"/>
      </w:pPr>
      <w:r>
        <w:t>7.2 API Design</w:t>
      </w:r>
    </w:p>
    <w:p>
      <w:r>
        <w:rPr>
          <w:rFonts w:ascii="Calibri" w:hAnsi="Calibri"/>
          <w:sz w:val="24"/>
        </w:rPr>
        <w:t>Security Director provides RESTful APIs for automation and integration with operational tools.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Style:</w:t>
      </w:r>
      <w:r>
        <w:rPr>
          <w:rFonts w:ascii="Calibri" w:hAnsi="Calibri"/>
          <w:sz w:val="24"/>
        </w:rPr>
        <w:t xml:space="preserve"> RESTful with JSON payloads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API key with IP whitelist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Rate Limiting:</w:t>
      </w:r>
      <w:r>
        <w:rPr>
          <w:rFonts w:ascii="Calibri" w:hAnsi="Calibri"/>
          <w:sz w:val="24"/>
        </w:rPr>
        <w:t xml:space="preserve"> 1000 requests/minute per client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Documentation:</w:t>
      </w:r>
      <w:r>
        <w:rPr>
          <w:rFonts w:ascii="Calibri" w:hAnsi="Calibri"/>
          <w:sz w:val="24"/>
        </w:rPr>
        <w:t xml:space="preserve"> OpenAPI specification provided</w:t>
      </w:r>
    </w:p>
    <w:p>
      <w:pPr>
        <w:pStyle w:val="Heading3"/>
        <w:spacing w:before="160" w:after="120"/>
        <w:ind w:left="0"/>
      </w:pPr>
      <w:r>
        <w:t>7.2.1 API Endpoints</w:t>
      </w:r>
    </w:p>
    <w:p>
      <w:r>
        <w:rPr>
          <w:rFonts w:ascii="Calibri" w:hAnsi="Calibri"/>
          <w:sz w:val="24"/>
        </w:rPr>
        <w:t>The following REST API endpoints provide programmatic access to firewall management.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Method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/api/v1/policies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Key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security policies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/api/v1/policies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Key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 new policy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/api/v1/devices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Key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managed devices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/api/v1/devices/{id}/deploy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Key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 configuration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API Endpoints</w:t>
      </w:r>
    </w:p>
    <w:p>
      <w:pPr>
        <w:pStyle w:val="Heading2"/>
        <w:spacing w:before="240" w:after="120"/>
        <w:ind w:left="0"/>
      </w:pPr>
      <w:r>
        <w:t>7.3 Authentication &amp; SSO Flows</w:t>
      </w:r>
    </w:p>
    <w:p>
      <w:r>
        <w:rPr>
          <w:rFonts w:ascii="Calibri" w:hAnsi="Calibri"/>
          <w:sz w:val="24"/>
        </w:rPr>
        <w:t>Single sign-on and authentication flows for administrative access and user VPN.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TACACS+ for firewall administrative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 integration for SSL VPN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RADIUS support for network access control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Certificate-based authentication for site-to-site VPN</w:t>
      </w:r>
    </w:p>
    <w:p>
      <w:pPr>
        <w:pStyle w:val="Heading2"/>
        <w:spacing w:before="240" w:after="120"/>
        <w:ind w:left="0"/>
      </w:pPr>
      <w:r>
        <w:t>7.4 Messaging &amp; Event Patterns</w:t>
      </w:r>
    </w:p>
    <w:p>
      <w:r>
        <w:rPr>
          <w:rFonts w:ascii="Calibri" w:hAnsi="Calibri"/>
          <w:sz w:val="24"/>
        </w:rPr>
        <w:t>Asynchronous messaging enables reliable security event processing and alerting.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Syslog Forwarding:</w:t>
      </w:r>
      <w:r>
        <w:rPr>
          <w:rFonts w:ascii="Calibri" w:hAnsi="Calibri"/>
          <w:sz w:val="24"/>
        </w:rPr>
        <w:t xml:space="preserve"> Real-time security events to Splunk via TLS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NetFlow Export:</w:t>
      </w:r>
      <w:r>
        <w:rPr>
          <w:rFonts w:ascii="Calibri" w:hAnsi="Calibri"/>
          <w:sz w:val="24"/>
        </w:rPr>
        <w:t xml:space="preserve"> Traffic metadata for visibility and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SNMP Traps:</w:t>
      </w:r>
      <w:r>
        <w:rPr>
          <w:rFonts w:ascii="Calibri" w:hAnsi="Calibri"/>
          <w:sz w:val="24"/>
        </w:rPr>
        <w:t xml:space="preserve"> Infrastructure alerts for monitoring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Webhook:</w:t>
      </w:r>
      <w:r>
        <w:rPr>
          <w:rFonts w:ascii="Calibri" w:hAnsi="Calibri"/>
          <w:sz w:val="24"/>
        </w:rPr>
        <w:t xml:space="preserve"> Security Director alerts for incident response automation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covers the infrastructure design, deployment architecture, and operational procedures for the SRX Firewall Platform.</w:t>
      </w:r>
    </w:p>
    <w:p>
      <w:pPr>
        <w:pStyle w:val="Heading2"/>
        <w:spacing w:before="240" w:after="120"/>
        <w:ind w:left="0"/>
      </w:pPr>
      <w:r>
        <w:t>8.1 Network Design</w:t>
      </w:r>
    </w:p>
    <w:p>
      <w:r>
        <w:rPr>
          <w:rFonts w:ascii="Calibri" w:hAnsi="Calibri"/>
          <w:sz w:val="24"/>
        </w:rPr>
        <w:t>The network architecture provides high-performance security with zone-based segmentation and multi-site connectivity.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Datacenter Deployment:</w:t>
      </w:r>
      <w:r>
        <w:rPr>
          <w:rFonts w:ascii="Calibri" w:hAnsi="Calibri"/>
          <w:sz w:val="24"/>
        </w:rPr>
        <w:t xml:space="preserve"> SRX4600 HA pair with dual 100GbE uplinks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 Deployment:</w:t>
      </w:r>
      <w:r>
        <w:rPr>
          <w:rFonts w:ascii="Calibri" w:hAnsi="Calibri"/>
          <w:sz w:val="24"/>
        </w:rPr>
        <w:t xml:space="preserve"> SRX300 per site with dual WAN links for SD-WAN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Network:</w:t>
      </w:r>
      <w:r>
        <w:rPr>
          <w:rFonts w:ascii="Calibri" w:hAnsi="Calibri"/>
          <w:sz w:val="24"/>
        </w:rPr>
        <w:t xml:space="preserve"> Dedicated OOB management for Security Director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VPN Overlay:</w:t>
      </w:r>
      <w:r>
        <w:rPr>
          <w:rFonts w:ascii="Calibri" w:hAnsi="Calibri"/>
          <w:sz w:val="24"/>
        </w:rPr>
        <w:t xml:space="preserve"> IPsec mesh between datacenter and all branch sites</w:t>
      </w:r>
    </w:p>
    <w:p>
      <w:pPr>
        <w:pStyle w:val="Heading2"/>
        <w:spacing w:before="240" w:after="120"/>
        <w:ind w:left="0"/>
      </w:pPr>
      <w:r>
        <w:t>8.2 Compute Sizing</w:t>
      </w:r>
    </w:p>
    <w:p>
      <w:r>
        <w:rPr>
          <w:rFonts w:ascii="Calibri" w:hAnsi="Calibri"/>
          <w:sz w:val="24"/>
        </w:rPr>
        <w:t>Hardware sizing has been determined based on performance requirements and throughput specifications.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Model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Throughput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Sessions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Datacenter Firewall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SRX4600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 Gbps FW, 40 Gbps IPS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2M concurrent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(HA pair)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Firewall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SRX300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Gbps FW, 300 Mbps IPS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64K concurrent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Director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N/A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20+ managed devices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VM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Component</w:t>
      </w:r>
    </w:p>
    <w:p>
      <w:pPr>
        <w:pStyle w:val="Heading2"/>
        <w:spacing w:before="240" w:after="120"/>
        <w:ind w:left="0"/>
      </w:pPr>
      <w:r>
        <w:t>8.3 High Availability Design</w:t>
      </w:r>
    </w:p>
    <w:p>
      <w:r>
        <w:rPr>
          <w:rFonts w:ascii="Calibri" w:hAnsi="Calibri"/>
          <w:sz w:val="24"/>
        </w:rPr>
        <w:t>The solution eliminates single points of failure through redundancy at datacenter and management tiers.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Active/passive HA clustering for SRX4600 datacenter pair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Sub-second failover via chassis cluster with redundancy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power supplies with separate circuits per SRX4600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Director VM with snapshot-based backup</w:t>
      </w:r>
    </w:p>
    <w:p>
      <w:pPr>
        <w:pStyle w:val="Heading2"/>
        <w:spacing w:before="240" w:after="120"/>
        <w:ind w:left="0"/>
      </w:pPr>
      <w:r>
        <w:t>8.4 Disaster Recovery</w:t>
      </w:r>
    </w:p>
    <w:p>
      <w:r>
        <w:rPr>
          <w:rFonts w:ascii="Calibri" w:hAnsi="Calibri"/>
          <w:sz w:val="24"/>
        </w:rPr>
        <w:t>Disaster recovery capabilities ensure business continuity for the firewall infrastructure.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RPO:</w:t>
      </w:r>
      <w:r>
        <w:rPr>
          <w:rFonts w:ascii="Calibri" w:hAnsi="Calibri"/>
          <w:sz w:val="24"/>
        </w:rPr>
        <w:t xml:space="preserve"> Configuration changes backed up within 15 minutes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RTO:</w:t>
      </w:r>
      <w:r>
        <w:rPr>
          <w:rFonts w:ascii="Calibri" w:hAnsi="Calibri"/>
          <w:sz w:val="24"/>
        </w:rPr>
        <w:t xml:space="preserve"> 4 hours for full infrastructure rebuild from backup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Automated configuration backup to secure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Site:</w:t>
      </w:r>
      <w:r>
        <w:rPr>
          <w:rFonts w:ascii="Calibri" w:hAnsi="Calibri"/>
          <w:sz w:val="24"/>
        </w:rPr>
        <w:t xml:space="preserve"> Secondary Security Director deployment (if required)</w:t>
      </w:r>
    </w:p>
    <w:p>
      <w:pPr>
        <w:pStyle w:val="Heading2"/>
        <w:spacing w:before="240" w:after="120"/>
        <w:ind w:left="0"/>
      </w:pPr>
      <w:r>
        <w:t>8.5 Monitoring &amp; Alerting</w:t>
      </w:r>
    </w:p>
    <w:p>
      <w:r>
        <w:rPr>
          <w:rFonts w:ascii="Calibri" w:hAnsi="Calibri"/>
          <w:sz w:val="24"/>
        </w:rPr>
        <w:t>Comprehensive monitoring provides visibility across infrastructure, security events, and performance metrics.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Infrastructure:</w:t>
      </w:r>
      <w:r>
        <w:rPr>
          <w:rFonts w:ascii="Calibri" w:hAnsi="Calibri"/>
          <w:sz w:val="24"/>
        </w:rPr>
        <w:t xml:space="preserve"> CPU, memory, session count, interface utilization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Security:</w:t>
      </w:r>
      <w:r>
        <w:rPr>
          <w:rFonts w:ascii="Calibri" w:hAnsi="Calibri"/>
          <w:sz w:val="24"/>
        </w:rPr>
        <w:t xml:space="preserve"> IPS events, ATP verdicts, blocked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Performance:</w:t>
      </w:r>
      <w:r>
        <w:rPr>
          <w:rFonts w:ascii="Calibri" w:hAnsi="Calibri"/>
          <w:sz w:val="24"/>
        </w:rPr>
        <w:t xml:space="preserve"> Throughput, latency, packet loss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Alerting:</w:t>
      </w:r>
      <w:r>
        <w:rPr>
          <w:rFonts w:ascii="Calibri" w:hAnsi="Calibri"/>
          <w:sz w:val="24"/>
        </w:rPr>
        <w:t xml:space="preserve"> Integration with enterprise monitoring and Splunk</w:t>
      </w:r>
    </w:p>
    <w:p>
      <w:pPr>
        <w:pStyle w:val="Heading3"/>
        <w:spacing w:before="160" w:after="120"/>
        <w:ind w:left="0"/>
      </w:pPr>
      <w:r>
        <w:t>8.5.1 Alert Definitions</w:t>
      </w:r>
    </w:p>
    <w:p>
      <w:r>
        <w:rPr>
          <w:rFonts w:ascii="Calibri" w:hAnsi="Calibri"/>
          <w:sz w:val="24"/>
        </w:rPr>
        <w:t>The following alerts have been configured to ensure proactive incident detection and response.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Condition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CPU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traffic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 Failover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State change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root cause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 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 severity event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team review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 Limit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90% capacity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 planning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8.6 Logging &amp; Observability</w:t>
      </w:r>
    </w:p>
    <w:p>
      <w:r>
        <w:rPr>
          <w:rFonts w:ascii="Calibri" w:hAnsi="Calibri"/>
          <w:sz w:val="24"/>
        </w:rPr>
        <w:t>Centralized logging and monitoring enable rapid troubleshooting and security analysis.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Structured syslog forwarding to Splunk SIEM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NetFlow export to traffic analysis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SNMP polling for infrastructure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Director dashboard for policy visibility</w:t>
      </w:r>
    </w:p>
    <w:p>
      <w:pPr>
        <w:pStyle w:val="Heading2"/>
        <w:spacing w:before="240" w:after="120"/>
        <w:ind w:left="0"/>
      </w:pPr>
      <w:r>
        <w:t>8.7 Cost Model</w:t>
      </w:r>
    </w:p>
    <w:p>
      <w:r>
        <w:rPr>
          <w:rFonts w:ascii="Calibri" w:hAnsi="Calibri"/>
          <w:sz w:val="24"/>
        </w:rPr>
        <w:t>The infrastructure costs align with the project investment summary from the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Investment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Annual Recurring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$156,200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SRX4600 HA, 10x SRX300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$90,500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IPS, ATP, SecIntel, SSL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$48,000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24x7 JTAC with 4-hour RMA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$101,300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Implementation, training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Category And Year 1 Investment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deployment strategy, tooling, and sequencing for the SRX Firewall Platform implementation.</w:t>
      </w:r>
    </w:p>
    <w:p>
      <w:pPr>
        <w:pStyle w:val="Heading2"/>
        <w:spacing w:before="240" w:after="120"/>
        <w:ind w:left="0"/>
      </w:pPr>
      <w:r>
        <w:t>9.1 Migration/Deployment Strategy</w:t>
      </w:r>
    </w:p>
    <w:p>
      <w:r>
        <w:rPr>
          <w:rFonts w:ascii="Calibri" w:hAnsi="Calibri"/>
          <w:sz w:val="24"/>
        </w:rPr>
        <w:t>The deployment strategy minimizes risk through parallel infrastructure with zone-by-zone traffic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Parallel deployment with instant rollback capability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Pattern:</w:t>
      </w:r>
      <w:r>
        <w:rPr>
          <w:rFonts w:ascii="Calibri" w:hAnsi="Calibri"/>
          <w:sz w:val="24"/>
        </w:rPr>
        <w:t xml:space="preserve"> Zone-by-zone migration over 4-week datacenter phase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Lab testing of policies before production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Routing-based cutback to legacy firewall within minutes</w:t>
      </w:r>
    </w:p>
    <w:p>
      <w:pPr>
        <w:pStyle w:val="Heading2"/>
        <w:spacing w:before="240" w:after="120"/>
        <w:ind w:left="0"/>
      </w:pPr>
      <w:r>
        <w:t>9.2 Sequencing &amp; Wave Planning</w:t>
      </w:r>
    </w:p>
    <w:p>
      <w:r>
        <w:rPr>
          <w:rFonts w:ascii="Calibri" w:hAnsi="Calibri"/>
          <w:sz w:val="24"/>
        </w:rPr>
        <w:t>The implementation follows a phased approach with clear exit criteria aligned with the 12-week project timeline.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Planning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Architecture approved, lab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Datacenter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SRX4600 HA operational, traffic migrated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SRX300 deployed, SD-WAN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 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Optimization &amp; Handoff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complete, documentation delivered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9.3 Tooling &amp; Automation</w:t>
      </w:r>
    </w:p>
    <w:p>
      <w:r>
        <w:rPr>
          <w:rFonts w:ascii="Calibri" w:hAnsi="Calibri"/>
          <w:sz w:val="24"/>
        </w:rPr>
        <w:t>The following tools provide the automation foundation for deployment and ongoing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Junos Space Security Director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policy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Migration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Juniper Policy Migrator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Convert legacy rules to Junos format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Splunk + SNMP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events and infrastructure metrics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Director + Git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version control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Tools and Technologies</w:t>
      </w:r>
    </w:p>
    <w:p>
      <w:pPr>
        <w:pStyle w:val="Heading2"/>
        <w:spacing w:before="240" w:after="120"/>
        <w:ind w:left="0"/>
      </w:pPr>
      <w:r>
        <w:t>9.4 Cutover Approach</w:t>
      </w:r>
    </w:p>
    <w:p>
      <w:r>
        <w:rPr>
          <w:rFonts w:ascii="Calibri" w:hAnsi="Calibri"/>
          <w:sz w:val="24"/>
        </w:rPr>
        <w:t>The cutover strategy balances risk mitigation with project timeline through phased zone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Type:</w:t>
      </w:r>
      <w:r>
        <w:rPr>
          <w:rFonts w:ascii="Calibri" w:hAnsi="Calibri"/>
          <w:sz w:val="24"/>
        </w:rPr>
        <w:t xml:space="preserve"> Phased cutover with parallel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4-week parallel run during datacenter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Traffic verification after each zone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Decision Point:</w:t>
      </w:r>
      <w:r>
        <w:rPr>
          <w:rFonts w:ascii="Calibri" w:hAnsi="Calibri"/>
          <w:sz w:val="24"/>
        </w:rPr>
        <w:t xml:space="preserve"> Go/no-go after each zone with instant rollback option</w:t>
      </w:r>
    </w:p>
    <w:p>
      <w:pPr>
        <w:pStyle w:val="Heading2"/>
        <w:spacing w:before="240" w:after="120"/>
        <w:ind w:left="0"/>
      </w:pPr>
      <w:r>
        <w:t>9.5 Downtime Expectations</w:t>
      </w:r>
    </w:p>
    <w:p>
      <w:r>
        <w:rPr>
          <w:rFonts w:ascii="Calibri" w:hAnsi="Calibri"/>
          <w:sz w:val="24"/>
        </w:rPr>
        <w:t>Service availability impacts during implementation have been minimized through parallel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Planned Downtime:</w:t>
      </w:r>
      <w:r>
        <w:rPr>
          <w:rFonts w:ascii="Calibri" w:hAnsi="Calibri"/>
          <w:sz w:val="24"/>
        </w:rPr>
        <w:t xml:space="preserve"> Zero - parallel infrastructure with routing-based cutover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Maintenance Windows:</w:t>
      </w:r>
      <w:r>
        <w:rPr>
          <w:rFonts w:ascii="Calibri" w:hAnsi="Calibri"/>
          <w:sz w:val="24"/>
        </w:rPr>
        <w:t xml:space="preserve"> Traffic migration during off-peak hours (low-risk)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Mitigation:</w:t>
      </w:r>
      <w:r>
        <w:rPr>
          <w:rFonts w:ascii="Calibri" w:hAnsi="Calibri"/>
          <w:sz w:val="24"/>
        </w:rPr>
        <w:t xml:space="preserve"> Pre-staged rollback via routing, 24/7 support during cutover</w:t>
      </w:r>
    </w:p>
    <w:p>
      <w:pPr>
        <w:pStyle w:val="Heading2"/>
        <w:spacing w:before="240" w:after="120"/>
        <w:ind w:left="0"/>
      </w:pPr>
      <w:r>
        <w:t>9.6 Rollback Strategy</w:t>
      </w:r>
    </w:p>
    <w:p>
      <w:r>
        <w:rPr>
          <w:rFonts w:ascii="Calibri" w:hAnsi="Calibri"/>
          <w:sz w:val="24"/>
        </w:rPr>
        <w:t>Rollback procedures are documented and tested to enable rapid recovery if issues arise.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Routing change to direct traffic back to legacy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execution time: &lt; 5 minutes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decision authority: Client Security Lead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rollback window: 30 days post-migration (until legacy decommission)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Architecture Diagrams</w:t>
      </w:r>
    </w:p>
    <w:p>
      <w:r>
        <w:rPr>
          <w:rFonts w:ascii="Calibri" w:hAnsi="Calibri"/>
          <w:sz w:val="24"/>
        </w:rPr>
        <w:t>The following diagrams provide visual representation of the solution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 (included in Solution Architecture section)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Diagram (datacenter and branch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Zone Diagram (zone segmentation and policy flow)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 Clustering Diagram (SRX4600 redundancy configuration)</w:t>
      </w:r>
    </w:p>
    <w:p>
      <w:pPr>
        <w:pStyle w:val="Heading2"/>
        <w:spacing w:before="240" w:after="120"/>
        <w:ind w:left="0"/>
      </w:pPr>
      <w:r>
        <w:t>10.2 Naming Conventions</w:t>
      </w:r>
    </w:p>
    <w:p>
      <w:r>
        <w:rPr>
          <w:rFonts w:ascii="Calibri" w:hAnsi="Calibri"/>
          <w:sz w:val="24"/>
        </w:rPr>
        <w:t>All SRX devices and objects follow standardized naming conventions to ensure consistency and enable automated management.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Pattern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Datacenter Firewall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`{site}-{role}-srx{model}-{seq}`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`dc1-fw-srx4600-01`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Firewall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`{site}-{role}-srx{model}`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`br-nyc-fw-srx300`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Zone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`zone-{purpose}`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`zone-dmz`, `zone-internal`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Address Object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`addr-{environment}-{purpose}`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`addr-prod-webservers`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Policy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`pol-{source}-to-{dest}-{seq}`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`pol-internal-to-dmz-001`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Naming Conventions</w:t>
      </w:r>
    </w:p>
    <w:p>
      <w:pPr>
        <w:pStyle w:val="Heading2"/>
        <w:spacing w:before="240" w:after="120"/>
        <w:ind w:left="0"/>
      </w:pPr>
      <w:r>
        <w:t>10.3 Tagging Standards</w:t>
      </w:r>
    </w:p>
    <w:p>
      <w:r>
        <w:rPr>
          <w:rFonts w:ascii="Calibri" w:hAnsi="Calibri"/>
          <w:sz w:val="24"/>
        </w:rPr>
        <w:t>Resource tagging enables operational automation, cost allocation, and compliance reporting.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 Values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production, lab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dc1, br-nyc, br-chi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Owner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security-team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srx-migration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pci-dss, soc2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Tagging Standards</w:t>
      </w:r>
    </w:p>
    <w:p>
      <w:pPr>
        <w:pStyle w:val="Heading2"/>
        <w:spacing w:before="240" w:after="120"/>
        <w:ind w:left="0"/>
      </w:pPr>
      <w:r>
        <w:t>10.4 Risk Register</w:t>
      </w:r>
    </w:p>
    <w:p>
      <w:r>
        <w:rPr>
          <w:rFonts w:ascii="Calibri" w:hAnsi="Calibri"/>
          <w:sz w:val="24"/>
        </w:rPr>
        <w:t>The following risks have been identified during the design phase with corresponding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Likelihood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migration errors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Lab validation, parallel run, instant rollback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 delivery delays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Order equipment immediately upon SOW execution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Undocumented firewall rules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audit with stakeholder interviews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degradation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Lab performance testing before production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failures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Early integration testing, API validation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2"/>
        <w:spacing w:before="240" w:after="120"/>
        <w:ind w:left="0"/>
      </w:pPr>
      <w:r>
        <w:t>10.5 Glossary</w:t>
      </w:r>
    </w:p>
    <w:p>
      <w:r>
        <w:rPr>
          <w:rFonts w:ascii="Calibri" w:hAnsi="Calibri"/>
          <w:sz w:val="24"/>
        </w:rPr>
        <w:t>The following terms and acronyms are used throughout this document.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ATP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Threat Prevention - cloud-based malware sandbox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 - redundant configuration for failover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IPS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Intrusion Prevention System - signature-based threat detection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SecIntel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Intelligence - threat feed service for C2 blocking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Software-Defined WAN - application-aware routing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SRX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Juniper Services Gateway - next-generation firewall platform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TACACS+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Terminal Access Controller Access-Control System Plus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Network - encrypted tunnel for secure connectivity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Juniper SRX Firewall Platform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