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Juniper - SRX Firewall Platform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r>
        <w:rPr>
          <w:rFonts w:ascii="Calibri" w:hAnsi="Calibri"/>
          <w:b/>
          <w:sz w:val="24"/>
        </w:rPr>
        <w:t>Client:</w:t>
      </w:r>
      <w:r>
        <w:rPr>
          <w:rFonts w:ascii="Calibri" w:hAnsi="Calibri"/>
          <w:sz w:val="24"/>
        </w:rPr>
        <w:t xml:space="preserve"> [CLIENT_NAME]</w:t>
      </w:r>
    </w:p>
    <w:p>
      <w:r>
        <w:rPr>
          <w:rFonts w:ascii="Calibri" w:hAnsi="Calibri"/>
          <w:b/>
          <w:sz w:val="24"/>
        </w:rPr>
        <w:t>Project:</w:t>
      </w:r>
      <w:r>
        <w:rPr>
          <w:rFonts w:ascii="Calibri" w:hAnsi="Calibri"/>
          <w:sz w:val="24"/>
        </w:rPr>
        <w:t xml:space="preserve"> Juniper SRX Firewall Platform Implementation</w:t>
      </w:r>
    </w:p>
    <w:p>
      <w:r>
        <w:rPr>
          <w:rFonts w:ascii="Calibri" w:hAnsi="Calibri"/>
          <w:b/>
          <w:sz w:val="24"/>
        </w:rPr>
        <w:t>SOW Number:</w:t>
      </w:r>
      <w:r>
        <w:rPr>
          <w:rFonts w:ascii="Calibri" w:hAnsi="Calibri"/>
          <w:sz w:val="24"/>
        </w:rPr>
        <w:t xml:space="preserve"> [SOW_NUMBER]</w:t>
      </w:r>
    </w:p>
    <w:p>
      <w:pPr>
        <w:pStyle w:val="Heading1"/>
        <w:spacing w:before="160" w:after="120"/>
        <w:ind w:left="0"/>
      </w:pPr>
      <w:r>
        <w:t>1 Executive Summary</w:t>
      </w:r>
    </w:p>
    <w:p>
      <w:r>
        <w:rPr>
          <w:rFonts w:ascii="Calibri" w:hAnsi="Calibri"/>
          <w:sz w:val="24"/>
        </w:rPr>
        <w:t>This section provides a high-level overview of the project scope, business objectives, expected outcomes, and timeline for the Juniper SRX Firewall Platform implementation.</w:t>
      </w:r>
    </w:p>
    <w:p>
      <w:pPr>
        <w:pStyle w:val="Heading3"/>
        <w:spacing w:before="160" w:after="120"/>
        <w:ind w:left="0"/>
      </w:pPr>
      <w:r>
        <w:t>1.1 1.1 Project Overview</w:t>
      </w:r>
    </w:p>
    <w:p>
      <w:r>
        <w:rPr>
          <w:rFonts w:ascii="Calibri" w:hAnsi="Calibri"/>
          <w:sz w:val="24"/>
        </w:rPr>
        <w:t>This Statement of Work (SOW) outlines the scope, deliverables, timeline, and terms for the implementation of Juniper SRX Firewall Platform for [CLIENT_NAME]. The project will deliver next-generation security infrastructure with 8x performance improvement and 40% cost reduction through deployment of enterprise-grade Juniper SRX firewalls with advanced threat prevention capabilities.</w:t>
      </w:r>
    </w:p>
    <w:p>
      <w:pPr>
        <w:pStyle w:val="Heading3"/>
        <w:spacing w:before="160" w:after="120"/>
        <w:ind w:left="0"/>
      </w:pPr>
      <w:r>
        <w:t>1.2 1.2 Business Objectives</w:t>
      </w:r>
    </w:p>
    <w:p>
      <w:pPr>
        <w:spacing w:after="80"/>
        <w:ind w:left="360"/>
      </w:pPr>
      <w:r>
        <w:rPr>
          <w:rFonts w:ascii="Calibri" w:hAnsi="Calibri"/>
          <w:sz w:val="24"/>
        </w:rPr>
        <w:t xml:space="preserve">• </w:t>
      </w:r>
      <w:r>
        <w:rPr>
          <w:rFonts w:ascii="Calibri" w:hAnsi="Calibri"/>
          <w:b/>
          <w:sz w:val="24"/>
        </w:rPr>
        <w:t>Primary Goal:</w:t>
      </w:r>
      <w:r>
        <w:rPr>
          <w:rFonts w:ascii="Calibri" w:hAnsi="Calibri"/>
          <w:sz w:val="24"/>
        </w:rPr>
        <w:t xml:space="preserve"> Replace aging firewall infrastructure with high-performance SRX platform delivering 80 Gbps throughput, advanced threat prevention, and multi-cloud security integration</w:t>
      </w:r>
    </w:p>
    <w:p>
      <w:pPr>
        <w:spacing w:after="80"/>
        <w:ind w:left="360"/>
      </w:pPr>
      <w:r>
        <w:rPr>
          <w:rFonts w:ascii="Calibri" w:hAnsi="Calibri"/>
          <w:sz w:val="24"/>
        </w:rPr>
        <w:t xml:space="preserve">• </w:t>
      </w:r>
      <w:r>
        <w:rPr>
          <w:rFonts w:ascii="Calibri" w:hAnsi="Calibri"/>
          <w:b/>
          <w:sz w:val="24"/>
        </w:rPr>
        <w:t>Success Metrics:</w:t>
      </w:r>
      <w:r>
        <w:rPr>
          <w:rFonts w:ascii="Calibri" w:hAnsi="Calibri"/>
          <w:sz w:val="24"/>
        </w:rPr>
        <w:t xml:space="preserve"> 80 Gbps firewall throughput with IPS enabled, 70% reduction in security incident response time, unified policy management across 20+ devices, 99.9% uptime with HA failover</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40% cost reduction over 3 years compared to incumbent firewall renewal, with measurable performance improvements and security enhancements</w:t>
      </w:r>
    </w:p>
    <w:p>
      <w:pPr>
        <w:pStyle w:val="Heading3"/>
        <w:spacing w:before="160" w:after="120"/>
        <w:ind w:left="0"/>
      </w:pPr>
      <w:r>
        <w:t>1.3 1.3 Project Duration</w:t>
      </w:r>
    </w:p>
    <w:p>
      <w:r>
        <w:rPr>
          <w:rFonts w:ascii="Calibri" w:hAnsi="Calibri"/>
          <w:b/>
          <w:sz w:val="24"/>
        </w:rPr>
        <w:t>Total Duration:</w:t>
      </w:r>
      <w:r>
        <w:rPr>
          <w:rFonts w:ascii="Calibri" w:hAnsi="Calibri"/>
          <w:sz w:val="24"/>
        </w:rPr>
        <w:t xml:space="preserve"> 12 weeks</w:t>
      </w:r>
    </w:p>
    <w:p>
      <w:pPr>
        <w:pStyle w:val="Heading1"/>
        <w:spacing w:before="160" w:after="120"/>
        <w:ind w:left="0"/>
      </w:pPr>
      <w:r>
        <w:t>2 Background &amp; Objectives</w:t>
      </w:r>
    </w:p>
    <w:p>
      <w:r>
        <w:rPr>
          <w:rFonts w:ascii="Calibri" w:hAnsi="Calibri"/>
          <w:sz w:val="24"/>
        </w:rPr>
        <w:t>This section outlines the current state of the Client's firewall infrastructure, defines the business objectives driving this initiative, and establishes measurable success metrics for project evaluation.</w:t>
      </w:r>
    </w:p>
    <w:p>
      <w:pPr>
        <w:pStyle w:val="Heading2"/>
        <w:spacing w:before="240" w:after="120"/>
        <w:ind w:left="0"/>
      </w:pPr>
      <w:r>
        <w:t>2.1 Current State</w:t>
      </w:r>
    </w:p>
    <w:p>
      <w:r>
        <w:rPr>
          <w:rFonts w:ascii="Calibri" w:hAnsi="Calibri"/>
          <w:sz w:val="24"/>
        </w:rPr>
        <w:t>Current firewall infrastructure based on aging hardware with performance limitations and increasing security requirements.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sz w:val="24"/>
        </w:rPr>
        <w:t>Replace aging firewall infrastructure with 8x performance improvement</w:t>
      </w:r>
    </w:p>
    <w:p>
      <w:pPr>
        <w:spacing w:after="80"/>
        <w:ind w:left="360"/>
      </w:pPr>
      <w:r>
        <w:rPr>
          <w:rFonts w:ascii="Calibri" w:hAnsi="Calibri"/>
          <w:sz w:val="24"/>
        </w:rPr>
        <w:t xml:space="preserve">• </w:t>
      </w:r>
      <w:r>
        <w:rPr>
          <w:rFonts w:ascii="Calibri" w:hAnsi="Calibri"/>
          <w:sz w:val="24"/>
        </w:rPr>
        <w:t>Reduce security licensing costs by 40% while gaining advanced threat prevention</w:t>
      </w:r>
    </w:p>
    <w:p>
      <w:pPr>
        <w:spacing w:after="80"/>
        <w:ind w:left="360"/>
      </w:pPr>
      <w:r>
        <w:rPr>
          <w:rFonts w:ascii="Calibri" w:hAnsi="Calibri"/>
          <w:sz w:val="24"/>
        </w:rPr>
        <w:t xml:space="preserve">• </w:t>
      </w:r>
      <w:r>
        <w:rPr>
          <w:rFonts w:ascii="Calibri" w:hAnsi="Calibri"/>
          <w:sz w:val="24"/>
        </w:rPr>
        <w:t>Enable seamless multi-cloud security with native AWS, Azure, and GCP integration</w:t>
      </w:r>
    </w:p>
    <w:p>
      <w:pPr>
        <w:spacing w:after="80"/>
        <w:ind w:left="360"/>
      </w:pPr>
      <w:r>
        <w:rPr>
          <w:rFonts w:ascii="Calibri" w:hAnsi="Calibri"/>
          <w:sz w:val="24"/>
        </w:rPr>
        <w:t xml:space="preserve">• </w:t>
      </w:r>
      <w:r>
        <w:rPr>
          <w:rFonts w:ascii="Calibri" w:hAnsi="Calibri"/>
          <w:sz w:val="24"/>
        </w:rPr>
        <w:t>Achieve 80 Gbps throughput with full IPS and SSL inspection enabled</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80 Gbps firewall throughput with full security services operational</w:t>
      </w:r>
    </w:p>
    <w:p>
      <w:pPr>
        <w:spacing w:after="80"/>
        <w:ind w:left="360"/>
      </w:pPr>
      <w:r>
        <w:rPr>
          <w:rFonts w:ascii="Calibri" w:hAnsi="Calibri"/>
          <w:sz w:val="24"/>
        </w:rPr>
        <w:t xml:space="preserve">• </w:t>
      </w:r>
      <w:r>
        <w:rPr>
          <w:rFonts w:ascii="Calibri" w:hAnsi="Calibri"/>
          <w:sz w:val="24"/>
        </w:rPr>
        <w:t>70% reduction in security incident response time through automated threat intelligence</w:t>
      </w:r>
    </w:p>
    <w:p>
      <w:pPr>
        <w:spacing w:after="80"/>
        <w:ind w:left="360"/>
      </w:pPr>
      <w:r>
        <w:rPr>
          <w:rFonts w:ascii="Calibri" w:hAnsi="Calibri"/>
          <w:sz w:val="24"/>
        </w:rPr>
        <w:t xml:space="preserve">• </w:t>
      </w:r>
      <w:r>
        <w:rPr>
          <w:rFonts w:ascii="Calibri" w:hAnsi="Calibri"/>
          <w:sz w:val="24"/>
        </w:rPr>
        <w:t>Unified security policy management across 20+ datacenter and branch firewalls</w:t>
      </w:r>
    </w:p>
    <w:p>
      <w:pPr>
        <w:spacing w:after="80"/>
        <w:ind w:left="360"/>
      </w:pPr>
      <w:r>
        <w:rPr>
          <w:rFonts w:ascii="Calibri" w:hAnsi="Calibri"/>
          <w:sz w:val="24"/>
        </w:rPr>
        <w:t xml:space="preserve">• </w:t>
      </w:r>
      <w:r>
        <w:rPr>
          <w:rFonts w:ascii="Calibri" w:hAnsi="Calibri"/>
          <w:sz w:val="24"/>
        </w:rPr>
        <w:t>99.9% uptime with sub-second HA failover</w:t>
      </w:r>
    </w:p>
    <w:p>
      <w:pPr>
        <w:pStyle w:val="Heading1"/>
        <w:spacing w:before="160" w:after="120"/>
        <w:ind w:left="0"/>
      </w:pPr>
      <w:r>
        <w:t>3 Scope of Work</w:t>
      </w:r>
    </w:p>
    <w:p>
      <w:r>
        <w:rPr>
          <w:rFonts w:ascii="Calibri" w:hAnsi="Calibri"/>
          <w:sz w:val="24"/>
        </w:rPr>
        <w:t>This section defines the detailed scope of work for the SRX Firewall Platform implementation, including all in-scope activities, deliverables, and explicitly excluded items to ensure clear expectations and project boundaries.</w:t>
      </w:r>
    </w:p>
    <w:p>
      <w:pPr>
        <w:pStyle w:val="Heading3"/>
        <w:spacing w:before="160" w:after="120"/>
        <w:ind w:left="0"/>
      </w:pPr>
      <w:r>
        <w:t>3.1 2.0 Engagement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Firewalls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SRX4600 (HA pair)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Branch Firewalls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SRX300 branch sites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Firewall Rules to Migrate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firewall rules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integrations (SIEM NAC)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VPN Tunnels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site-to-site + 100 SSL VPN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Administrators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firewall administrators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Remote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SSL VPN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Firewall Throughput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Gbps datacenter firewall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 Throughput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 Gbps IPS inspection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Locations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datacenter + 10 branches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availability (99.9%)</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Active/passive HA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 ATP Cloud SecIntel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PCI DSS SOC 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Inspection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L3/L4 + IPS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Session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million concurrent sessions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(lab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w:t>
      </w:r>
    </w:p>
    <w:p>
      <w:pPr>
        <w:pStyle w:val="Heading3"/>
        <w:spacing w:before="160" w:after="120"/>
        <w:ind w:left="0"/>
      </w:pPr>
      <w:r>
        <w:t>3.2 2.1 In-Scope Activities</w:t>
      </w:r>
    </w:p>
    <w:p>
      <w:r>
        <w:rPr>
          <w:rFonts w:ascii="Calibri" w:hAnsi="Calibri"/>
          <w:sz w:val="24"/>
        </w:rPr>
        <w:t>The following services and deliverables are included in this SOW:</w:t>
      </w:r>
    </w:p>
    <w:p>
      <w:pPr>
        <w:pStyle w:val="Heading4"/>
        <w:spacing w:before="160" w:after="120"/>
        <w:ind w:left="0"/>
      </w:pPr>
      <w:r>
        <w:t>3.2.1 2.1.1 Discovery &amp; Planning Phase (Weeks 1-4)</w:t>
      </w:r>
    </w:p>
    <w:p>
      <w:pPr>
        <w:spacing w:after="80"/>
        <w:ind w:left="360"/>
      </w:pPr>
      <w:r>
        <w:rPr>
          <w:rFonts w:ascii="Calibri" w:hAnsi="Calibri"/>
          <w:sz w:val="24"/>
        </w:rPr>
        <w:t xml:space="preserve">• </w:t>
      </w:r>
      <w:r>
        <w:rPr>
          <w:rFonts w:ascii="Calibri" w:hAnsi="Calibri"/>
          <w:sz w:val="24"/>
        </w:rPr>
        <w:t>[x] Security architecture design including network zones, segmentation, and traffic flows</w:t>
      </w:r>
    </w:p>
    <w:p>
      <w:pPr>
        <w:spacing w:after="80"/>
        <w:ind w:left="360"/>
      </w:pPr>
      <w:r>
        <w:rPr>
          <w:rFonts w:ascii="Calibri" w:hAnsi="Calibri"/>
          <w:sz w:val="24"/>
        </w:rPr>
        <w:t xml:space="preserve">• </w:t>
      </w:r>
      <w:r>
        <w:rPr>
          <w:rFonts w:ascii="Calibri" w:hAnsi="Calibri"/>
          <w:sz w:val="24"/>
        </w:rPr>
        <w:t>[x] Current state assessment of existing firewall policies, rules, and configurations</w:t>
      </w:r>
    </w:p>
    <w:p>
      <w:pPr>
        <w:spacing w:after="80"/>
        <w:ind w:left="360"/>
      </w:pPr>
      <w:r>
        <w:rPr>
          <w:rFonts w:ascii="Calibri" w:hAnsi="Calibri"/>
          <w:sz w:val="24"/>
        </w:rPr>
        <w:t xml:space="preserve">• </w:t>
      </w:r>
      <w:r>
        <w:rPr>
          <w:rFonts w:ascii="Calibri" w:hAnsi="Calibri"/>
          <w:sz w:val="24"/>
        </w:rPr>
        <w:t>[x] Policy migration analysis with optimization and consolidation recommendations</w:t>
      </w:r>
    </w:p>
    <w:p>
      <w:pPr>
        <w:spacing w:after="80"/>
        <w:ind w:left="360"/>
      </w:pPr>
      <w:r>
        <w:rPr>
          <w:rFonts w:ascii="Calibri" w:hAnsi="Calibri"/>
          <w:sz w:val="24"/>
        </w:rPr>
        <w:t xml:space="preserve">• </w:t>
      </w:r>
      <w:r>
        <w:rPr>
          <w:rFonts w:ascii="Calibri" w:hAnsi="Calibri"/>
          <w:sz w:val="24"/>
        </w:rPr>
        <w:t>[x] Lab validation environment setup for testing and validation</w:t>
      </w:r>
    </w:p>
    <w:p>
      <w:pPr>
        <w:spacing w:after="80"/>
        <w:ind w:left="360"/>
      </w:pPr>
      <w:r>
        <w:rPr>
          <w:rFonts w:ascii="Calibri" w:hAnsi="Calibri"/>
          <w:sz w:val="24"/>
        </w:rPr>
        <w:t xml:space="preserve">• </w:t>
      </w:r>
      <w:r>
        <w:rPr>
          <w:rFonts w:ascii="Calibri" w:hAnsi="Calibri"/>
          <w:sz w:val="24"/>
        </w:rPr>
        <w:t>[x] Detailed implementation plan with cutover strategy and rollback procedures</w:t>
      </w:r>
    </w:p>
    <w:p>
      <w:pPr>
        <w:pStyle w:val="Heading4"/>
        <w:spacing w:before="160" w:after="120"/>
        <w:ind w:left="0"/>
      </w:pPr>
      <w:r>
        <w:t>3.2.2 2.1.2 Datacenter Deployment Phase (Weeks 5-8)</w:t>
      </w:r>
    </w:p>
    <w:p>
      <w:pPr>
        <w:spacing w:after="80"/>
        <w:ind w:left="360"/>
      </w:pPr>
      <w:r>
        <w:rPr>
          <w:rFonts w:ascii="Calibri" w:hAnsi="Calibri"/>
          <w:sz w:val="24"/>
        </w:rPr>
        <w:t xml:space="preserve">• </w:t>
      </w:r>
      <w:r>
        <w:rPr>
          <w:rFonts w:ascii="Calibri" w:hAnsi="Calibri"/>
          <w:sz w:val="24"/>
        </w:rPr>
        <w:t>[x] SRX4600 HA pair deployment with hardware installation and cabling</w:t>
      </w:r>
    </w:p>
    <w:p>
      <w:pPr>
        <w:spacing w:after="80"/>
        <w:ind w:left="360"/>
      </w:pPr>
      <w:r>
        <w:rPr>
          <w:rFonts w:ascii="Calibri" w:hAnsi="Calibri"/>
          <w:sz w:val="24"/>
        </w:rPr>
        <w:t xml:space="preserve">• </w:t>
      </w:r>
      <w:r>
        <w:rPr>
          <w:rFonts w:ascii="Calibri" w:hAnsi="Calibri"/>
          <w:sz w:val="24"/>
        </w:rPr>
        <w:t>[x] Base configuration including network interfaces, routing, and zones</w:t>
      </w:r>
    </w:p>
    <w:p>
      <w:pPr>
        <w:spacing w:after="80"/>
        <w:ind w:left="360"/>
      </w:pPr>
      <w:r>
        <w:rPr>
          <w:rFonts w:ascii="Calibri" w:hAnsi="Calibri"/>
          <w:sz w:val="24"/>
        </w:rPr>
        <w:t xml:space="preserve">• </w:t>
      </w:r>
      <w:r>
        <w:rPr>
          <w:rFonts w:ascii="Calibri" w:hAnsi="Calibri"/>
          <w:sz w:val="24"/>
        </w:rPr>
        <w:t>[x] Security policy migration and implementation (500+ firewall rules)</w:t>
      </w:r>
    </w:p>
    <w:p>
      <w:pPr>
        <w:spacing w:after="80"/>
        <w:ind w:left="360"/>
      </w:pPr>
      <w:r>
        <w:rPr>
          <w:rFonts w:ascii="Calibri" w:hAnsi="Calibri"/>
          <w:sz w:val="24"/>
        </w:rPr>
        <w:t xml:space="preserve">• </w:t>
      </w:r>
      <w:r>
        <w:rPr>
          <w:rFonts w:ascii="Calibri" w:hAnsi="Calibri"/>
          <w:sz w:val="24"/>
        </w:rPr>
        <w:t>[x] Advanced security services configuration (IPS, ATP, SecIntel, SSL inspection)</w:t>
      </w:r>
    </w:p>
    <w:p>
      <w:pPr>
        <w:spacing w:after="80"/>
        <w:ind w:left="360"/>
      </w:pPr>
      <w:r>
        <w:rPr>
          <w:rFonts w:ascii="Calibri" w:hAnsi="Calibri"/>
          <w:sz w:val="24"/>
        </w:rPr>
        <w:t xml:space="preserve">• </w:t>
      </w:r>
      <w:r>
        <w:rPr>
          <w:rFonts w:ascii="Calibri" w:hAnsi="Calibri"/>
          <w:sz w:val="24"/>
        </w:rPr>
        <w:t>[x] Zone-by-zone traffic migration with parallel infrastructure approach</w:t>
      </w:r>
    </w:p>
    <w:p>
      <w:pPr>
        <w:spacing w:after="80"/>
        <w:ind w:left="360"/>
      </w:pPr>
      <w:r>
        <w:rPr>
          <w:rFonts w:ascii="Calibri" w:hAnsi="Calibri"/>
          <w:sz w:val="24"/>
        </w:rPr>
        <w:t xml:space="preserve">• </w:t>
      </w:r>
      <w:r>
        <w:rPr>
          <w:rFonts w:ascii="Calibri" w:hAnsi="Calibri"/>
          <w:sz w:val="24"/>
        </w:rPr>
        <w:t>[x] High availability testing and failover validation</w:t>
      </w:r>
    </w:p>
    <w:p>
      <w:pPr>
        <w:spacing w:after="80"/>
        <w:ind w:left="360"/>
      </w:pPr>
      <w:r>
        <w:rPr>
          <w:rFonts w:ascii="Calibri" w:hAnsi="Calibri"/>
          <w:sz w:val="24"/>
        </w:rPr>
        <w:t xml:space="preserve">• </w:t>
      </w:r>
      <w:r>
        <w:rPr>
          <w:rFonts w:ascii="Calibri" w:hAnsi="Calibri"/>
          <w:sz w:val="24"/>
        </w:rPr>
        <w:t>[x] Performance testing validating 80 Gbps throughput with security services enabled</w:t>
      </w:r>
    </w:p>
    <w:p>
      <w:pPr>
        <w:pStyle w:val="Heading4"/>
        <w:spacing w:before="160" w:after="120"/>
        <w:ind w:left="0"/>
      </w:pPr>
      <w:r>
        <w:t>3.2.3 2.1.3 Branch Deployment Phase (Weeks 9-11)</w:t>
      </w:r>
    </w:p>
    <w:p>
      <w:pPr>
        <w:spacing w:after="80"/>
        <w:ind w:left="360"/>
      </w:pPr>
      <w:r>
        <w:rPr>
          <w:rFonts w:ascii="Calibri" w:hAnsi="Calibri"/>
          <w:sz w:val="24"/>
        </w:rPr>
        <w:t xml:space="preserve">• </w:t>
      </w:r>
      <w:r>
        <w:rPr>
          <w:rFonts w:ascii="Calibri" w:hAnsi="Calibri"/>
          <w:sz w:val="24"/>
        </w:rPr>
        <w:t>[x] SRX300 branch firewall deployment at 10 locations</w:t>
      </w:r>
    </w:p>
    <w:p>
      <w:pPr>
        <w:spacing w:after="80"/>
        <w:ind w:left="360"/>
      </w:pPr>
      <w:r>
        <w:rPr>
          <w:rFonts w:ascii="Calibri" w:hAnsi="Calibri"/>
          <w:sz w:val="24"/>
        </w:rPr>
        <w:t xml:space="preserve">• </w:t>
      </w:r>
      <w:r>
        <w:rPr>
          <w:rFonts w:ascii="Calibri" w:hAnsi="Calibri"/>
          <w:sz w:val="24"/>
        </w:rPr>
        <w:t>[x] SD-WAN configuration for application-based routing and WAN optimization</w:t>
      </w:r>
    </w:p>
    <w:p>
      <w:pPr>
        <w:spacing w:after="80"/>
        <w:ind w:left="360"/>
      </w:pPr>
      <w:r>
        <w:rPr>
          <w:rFonts w:ascii="Calibri" w:hAnsi="Calibri"/>
          <w:sz w:val="24"/>
        </w:rPr>
        <w:t xml:space="preserve">• </w:t>
      </w:r>
      <w:r>
        <w:rPr>
          <w:rFonts w:ascii="Calibri" w:hAnsi="Calibri"/>
          <w:sz w:val="24"/>
        </w:rPr>
        <w:t>[x] Site-to-site VPN configuration connecting branches to datacenter</w:t>
      </w:r>
    </w:p>
    <w:p>
      <w:pPr>
        <w:spacing w:after="80"/>
        <w:ind w:left="360"/>
      </w:pPr>
      <w:r>
        <w:rPr>
          <w:rFonts w:ascii="Calibri" w:hAnsi="Calibri"/>
          <w:sz w:val="24"/>
        </w:rPr>
        <w:t xml:space="preserve">• </w:t>
      </w:r>
      <w:r>
        <w:rPr>
          <w:rFonts w:ascii="Calibri" w:hAnsi="Calibri"/>
          <w:sz w:val="24"/>
        </w:rPr>
        <w:t>[x] Remote access VPN setup for mobile users (SSL VPN)</w:t>
      </w:r>
    </w:p>
    <w:p>
      <w:pPr>
        <w:spacing w:after="80"/>
        <w:ind w:left="360"/>
      </w:pPr>
      <w:r>
        <w:rPr>
          <w:rFonts w:ascii="Calibri" w:hAnsi="Calibri"/>
          <w:sz w:val="24"/>
        </w:rPr>
        <w:t xml:space="preserve">• </w:t>
      </w:r>
      <w:r>
        <w:rPr>
          <w:rFonts w:ascii="Calibri" w:hAnsi="Calibri"/>
          <w:sz w:val="24"/>
        </w:rPr>
        <w:t>[x] Standardized security policy deployment across all branch locations</w:t>
      </w:r>
    </w:p>
    <w:p>
      <w:pPr>
        <w:pStyle w:val="Heading4"/>
        <w:spacing w:before="160" w:after="120"/>
        <w:ind w:left="0"/>
      </w:pPr>
      <w:r>
        <w:t>3.2.4 2.1.4 Management &amp; Integration Phase (Weeks 5-11)</w:t>
      </w:r>
    </w:p>
    <w:p>
      <w:pPr>
        <w:spacing w:after="80"/>
        <w:ind w:left="360"/>
      </w:pPr>
      <w:r>
        <w:rPr>
          <w:rFonts w:ascii="Calibri" w:hAnsi="Calibri"/>
          <w:sz w:val="24"/>
        </w:rPr>
        <w:t xml:space="preserve">• </w:t>
      </w:r>
      <w:r>
        <w:rPr>
          <w:rFonts w:ascii="Calibri" w:hAnsi="Calibri"/>
          <w:sz w:val="24"/>
        </w:rPr>
        <w:t>[x] Junos Space Security Director installation and configuration</w:t>
      </w:r>
    </w:p>
    <w:p>
      <w:pPr>
        <w:spacing w:after="80"/>
        <w:ind w:left="360"/>
      </w:pPr>
      <w:r>
        <w:rPr>
          <w:rFonts w:ascii="Calibri" w:hAnsi="Calibri"/>
          <w:sz w:val="24"/>
        </w:rPr>
        <w:t xml:space="preserve">• </w:t>
      </w:r>
      <w:r>
        <w:rPr>
          <w:rFonts w:ascii="Calibri" w:hAnsi="Calibri"/>
          <w:sz w:val="24"/>
        </w:rPr>
        <w:t>[x] Centralized policy management for all SRX devices (datacenter and branch)</w:t>
      </w:r>
    </w:p>
    <w:p>
      <w:pPr>
        <w:spacing w:after="80"/>
        <w:ind w:left="360"/>
      </w:pPr>
      <w:r>
        <w:rPr>
          <w:rFonts w:ascii="Calibri" w:hAnsi="Calibri"/>
          <w:sz w:val="24"/>
        </w:rPr>
        <w:t xml:space="preserve">• </w:t>
      </w:r>
      <w:r>
        <w:rPr>
          <w:rFonts w:ascii="Calibri" w:hAnsi="Calibri"/>
          <w:sz w:val="24"/>
        </w:rPr>
        <w:t>[x] SIEM integration (Splunk) for security event logging and correlation</w:t>
      </w:r>
    </w:p>
    <w:p>
      <w:pPr>
        <w:spacing w:after="80"/>
        <w:ind w:left="360"/>
      </w:pPr>
      <w:r>
        <w:rPr>
          <w:rFonts w:ascii="Calibri" w:hAnsi="Calibri"/>
          <w:sz w:val="24"/>
        </w:rPr>
        <w:t xml:space="preserve">• </w:t>
      </w:r>
      <w:r>
        <w:rPr>
          <w:rFonts w:ascii="Calibri" w:hAnsi="Calibri"/>
          <w:sz w:val="24"/>
        </w:rPr>
        <w:t>[x] NetFlow configuration for traffic visibility and monitoring</w:t>
      </w:r>
    </w:p>
    <w:p>
      <w:pPr>
        <w:spacing w:after="80"/>
        <w:ind w:left="360"/>
      </w:pPr>
      <w:r>
        <w:rPr>
          <w:rFonts w:ascii="Calibri" w:hAnsi="Calibri"/>
          <w:sz w:val="24"/>
        </w:rPr>
        <w:t xml:space="preserve">• </w:t>
      </w:r>
      <w:r>
        <w:rPr>
          <w:rFonts w:ascii="Calibri" w:hAnsi="Calibri"/>
          <w:sz w:val="24"/>
        </w:rPr>
        <w:t>[x] Cloud VPN integration with AWS, Azure, and GCP environments</w:t>
      </w:r>
    </w:p>
    <w:p>
      <w:pPr>
        <w:spacing w:after="80"/>
        <w:ind w:left="360"/>
      </w:pPr>
      <w:r>
        <w:rPr>
          <w:rFonts w:ascii="Calibri" w:hAnsi="Calibri"/>
          <w:sz w:val="24"/>
        </w:rPr>
        <w:t xml:space="preserve">• </w:t>
      </w:r>
      <w:r>
        <w:rPr>
          <w:rFonts w:ascii="Calibri" w:hAnsi="Calibri"/>
          <w:sz w:val="24"/>
        </w:rPr>
        <w:t>[x] Monitoring and alerting configuration for performance and security events</w:t>
      </w:r>
    </w:p>
    <w:p>
      <w:pPr>
        <w:pStyle w:val="Heading4"/>
        <w:spacing w:before="160" w:after="120"/>
        <w:ind w:left="0"/>
      </w:pPr>
      <w:r>
        <w:t>3.2.5 2.1.5 Optimization &amp; Handoff Phase (Week 12)</w:t>
      </w:r>
    </w:p>
    <w:p>
      <w:pPr>
        <w:spacing w:after="80"/>
        <w:ind w:left="360"/>
      </w:pPr>
      <w:r>
        <w:rPr>
          <w:rFonts w:ascii="Calibri" w:hAnsi="Calibri"/>
          <w:sz w:val="24"/>
        </w:rPr>
        <w:t xml:space="preserve">• </w:t>
      </w:r>
      <w:r>
        <w:rPr>
          <w:rFonts w:ascii="Calibri" w:hAnsi="Calibri"/>
          <w:sz w:val="24"/>
        </w:rPr>
        <w:t>[x] Security policy tuning based on traffic patterns and threat intelligence</w:t>
      </w:r>
    </w:p>
    <w:p>
      <w:pPr>
        <w:spacing w:after="80"/>
        <w:ind w:left="360"/>
      </w:pPr>
      <w:r>
        <w:rPr>
          <w:rFonts w:ascii="Calibri" w:hAnsi="Calibri"/>
          <w:sz w:val="24"/>
        </w:rPr>
        <w:t xml:space="preserve">• </w:t>
      </w:r>
      <w:r>
        <w:rPr>
          <w:rFonts w:ascii="Calibri" w:hAnsi="Calibri"/>
          <w:sz w:val="24"/>
        </w:rPr>
        <w:t>[x] Performance optimization for throughput, latency, and application performance</w:t>
      </w:r>
    </w:p>
    <w:p>
      <w:pPr>
        <w:spacing w:after="80"/>
        <w:ind w:left="360"/>
      </w:pPr>
      <w:r>
        <w:rPr>
          <w:rFonts w:ascii="Calibri" w:hAnsi="Calibri"/>
          <w:sz w:val="24"/>
        </w:rPr>
        <w:t xml:space="preserve">• </w:t>
      </w:r>
      <w:r>
        <w:rPr>
          <w:rFonts w:ascii="Calibri" w:hAnsi="Calibri"/>
          <w:sz w:val="24"/>
        </w:rPr>
        <w:t>[x] Administrator training on SRX management and Junos OS (16 hours)</w:t>
      </w:r>
    </w:p>
    <w:p>
      <w:pPr>
        <w:spacing w:after="80"/>
        <w:ind w:left="360"/>
      </w:pPr>
      <w:r>
        <w:rPr>
          <w:rFonts w:ascii="Calibri" w:hAnsi="Calibri"/>
          <w:sz w:val="24"/>
        </w:rPr>
        <w:t xml:space="preserve">• </w:t>
      </w:r>
      <w:r>
        <w:rPr>
          <w:rFonts w:ascii="Calibri" w:hAnsi="Calibri"/>
          <w:sz w:val="24"/>
        </w:rPr>
        <w:t>[x] Security operations training on policy management and troubleshooting (8 hours)</w:t>
      </w:r>
    </w:p>
    <w:p>
      <w:pPr>
        <w:spacing w:after="80"/>
        <w:ind w:left="360"/>
      </w:pPr>
      <w:r>
        <w:rPr>
          <w:rFonts w:ascii="Calibri" w:hAnsi="Calibri"/>
          <w:sz w:val="24"/>
        </w:rPr>
        <w:t xml:space="preserve">• </w:t>
      </w:r>
      <w:r>
        <w:rPr>
          <w:rFonts w:ascii="Calibri" w:hAnsi="Calibri"/>
          <w:sz w:val="24"/>
        </w:rPr>
        <w:t>[x] Documentation delivery including as-built diagrams, runbooks, and procedures</w:t>
      </w:r>
    </w:p>
    <w:p>
      <w:pPr>
        <w:spacing w:after="80"/>
        <w:ind w:left="360"/>
      </w:pPr>
      <w:r>
        <w:rPr>
          <w:rFonts w:ascii="Calibri" w:hAnsi="Calibri"/>
          <w:sz w:val="24"/>
        </w:rPr>
        <w:t xml:space="preserve">• </w:t>
      </w:r>
      <w:r>
        <w:rPr>
          <w:rFonts w:ascii="Calibri" w:hAnsi="Calibri"/>
          <w:sz w:val="24"/>
        </w:rPr>
        <w:t>[x] Production handoff and knowledge transfer to operations team</w:t>
      </w:r>
    </w:p>
    <w:p>
      <w:pPr>
        <w:pStyle w:val="Heading3"/>
        <w:spacing w:before="160" w:after="120"/>
        <w:ind w:left="0"/>
      </w:pPr>
      <w:r>
        <w:t>3.3 2.2 Out-of-Scope Activities</w:t>
      </w:r>
    </w:p>
    <w:p>
      <w:r>
        <w:rPr>
          <w:rFonts w:ascii="Calibri" w:hAnsi="Calibri"/>
          <w:sz w:val="24"/>
        </w:rPr>
        <w:t>The following activities are explicitly excluded from this SOW:</w:t>
      </w:r>
    </w:p>
    <w:p>
      <w:pPr>
        <w:spacing w:after="80"/>
        <w:ind w:left="360"/>
      </w:pPr>
      <w:r>
        <w:rPr>
          <w:rFonts w:ascii="Calibri" w:hAnsi="Calibri"/>
          <w:sz w:val="24"/>
        </w:rPr>
        <w:t xml:space="preserve">• </w:t>
      </w:r>
      <w:r>
        <w:rPr>
          <w:rFonts w:ascii="Calibri" w:hAnsi="Calibri"/>
          <w:sz w:val="24"/>
        </w:rPr>
        <w:t>[x] Hardware procurement (client responsible for purchasing SRX equipment)</w:t>
      </w:r>
    </w:p>
    <w:p>
      <w:pPr>
        <w:spacing w:after="80"/>
        <w:ind w:left="360"/>
      </w:pPr>
      <w:r>
        <w:rPr>
          <w:rFonts w:ascii="Calibri" w:hAnsi="Calibri"/>
          <w:sz w:val="24"/>
        </w:rPr>
        <w:t xml:space="preserve">• </w:t>
      </w:r>
      <w:r>
        <w:rPr>
          <w:rFonts w:ascii="Calibri" w:hAnsi="Calibri"/>
          <w:sz w:val="24"/>
        </w:rPr>
        <w:t>[x] Datacenter rack space, power, and cooling infrastructure</w:t>
      </w:r>
    </w:p>
    <w:p>
      <w:pPr>
        <w:spacing w:after="80"/>
        <w:ind w:left="360"/>
      </w:pPr>
      <w:r>
        <w:rPr>
          <w:rFonts w:ascii="Calibri" w:hAnsi="Calibri"/>
          <w:sz w:val="24"/>
        </w:rPr>
        <w:t xml:space="preserve">• </w:t>
      </w:r>
      <w:r>
        <w:rPr>
          <w:rFonts w:ascii="Calibri" w:hAnsi="Calibri"/>
          <w:sz w:val="24"/>
        </w:rPr>
        <w:t>[x] WAN circuit provisioning or bandwidth upgrades</w:t>
      </w:r>
    </w:p>
    <w:p>
      <w:pPr>
        <w:spacing w:after="80"/>
        <w:ind w:left="360"/>
      </w:pPr>
      <w:r>
        <w:rPr>
          <w:rFonts w:ascii="Calibri" w:hAnsi="Calibri"/>
          <w:sz w:val="24"/>
        </w:rPr>
        <w:t xml:space="preserve">• </w:t>
      </w:r>
      <w:r>
        <w:rPr>
          <w:rFonts w:ascii="Calibri" w:hAnsi="Calibri"/>
          <w:sz w:val="24"/>
        </w:rPr>
        <w:t>[x] Decommissioning of legacy firewall equipment</w:t>
      </w:r>
    </w:p>
    <w:p>
      <w:pPr>
        <w:spacing w:after="80"/>
        <w:ind w:left="360"/>
      </w:pPr>
      <w:r>
        <w:rPr>
          <w:rFonts w:ascii="Calibri" w:hAnsi="Calibri"/>
          <w:sz w:val="24"/>
        </w:rPr>
        <w:t xml:space="preserve">• </w:t>
      </w:r>
      <w:r>
        <w:rPr>
          <w:rFonts w:ascii="Calibri" w:hAnsi="Calibri"/>
          <w:sz w:val="24"/>
        </w:rPr>
        <w:t>[x] Network infrastructure modifications beyond firewall deployment</w:t>
      </w:r>
    </w:p>
    <w:p>
      <w:pPr>
        <w:spacing w:after="80"/>
        <w:ind w:left="360"/>
      </w:pPr>
      <w:r>
        <w:rPr>
          <w:rFonts w:ascii="Calibri" w:hAnsi="Calibri"/>
          <w:sz w:val="24"/>
        </w:rPr>
        <w:t xml:space="preserve">• </w:t>
      </w:r>
      <w:r>
        <w:rPr>
          <w:rFonts w:ascii="Calibri" w:hAnsi="Calibri"/>
          <w:sz w:val="24"/>
        </w:rPr>
        <w:t>[x] Ongoing operational support beyond 30-day warranty period</w:t>
      </w:r>
    </w:p>
    <w:p>
      <w:pPr>
        <w:spacing w:after="80"/>
        <w:ind w:left="360"/>
      </w:pPr>
      <w:r>
        <w:rPr>
          <w:rFonts w:ascii="Calibri" w:hAnsi="Calibri"/>
          <w:sz w:val="24"/>
        </w:rPr>
        <w:t xml:space="preserve">• </w:t>
      </w:r>
      <w:r>
        <w:rPr>
          <w:rFonts w:ascii="Calibri" w:hAnsi="Calibri"/>
          <w:sz w:val="24"/>
        </w:rPr>
        <w:t>[x] Custom application signatures or policy development beyond standard rulesets</w:t>
      </w:r>
    </w:p>
    <w:p>
      <w:pPr>
        <w:spacing w:after="80"/>
        <w:ind w:left="360"/>
      </w:pPr>
      <w:r>
        <w:rPr>
          <w:rFonts w:ascii="Calibri" w:hAnsi="Calibri"/>
          <w:sz w:val="24"/>
        </w:rPr>
        <w:t xml:space="preserve">• </w:t>
      </w:r>
      <w:r>
        <w:rPr>
          <w:rFonts w:ascii="Calibri" w:hAnsi="Calibri"/>
          <w:sz w:val="24"/>
        </w:rPr>
        <w:t>[x] Security audit or penetration testing services</w:t>
      </w:r>
    </w:p>
    <w:p>
      <w:pPr>
        <w:spacing w:after="80"/>
        <w:ind w:left="360"/>
      </w:pPr>
      <w:r>
        <w:rPr>
          <w:rFonts w:ascii="Calibri" w:hAnsi="Calibri"/>
          <w:sz w:val="24"/>
        </w:rPr>
        <w:t xml:space="preserve">• </w:t>
      </w:r>
      <w:r>
        <w:rPr>
          <w:rFonts w:ascii="Calibri" w:hAnsi="Calibri"/>
          <w:sz w:val="24"/>
        </w:rPr>
        <w:t>[x] Compliance certification services (PCI DSS, SOC 2, HIPAA assessments)</w:t>
      </w:r>
    </w:p>
    <w:p>
      <w:pPr>
        <w:pStyle w:val="Heading1"/>
        <w:spacing w:before="160" w:after="120"/>
        <w:ind w:left="0"/>
      </w:pPr>
      <w:r>
        <w:t>4 Deliverables &amp; Timeline</w:t>
      </w:r>
    </w:p>
    <w:p>
      <w:r>
        <w:rPr>
          <w:rFonts w:ascii="Calibri" w:hAnsi="Calibri"/>
          <w:sz w:val="24"/>
        </w:rPr>
        <w:t>This section details all project deliverables including documentation, system components, knowledge transfer activities, project milestones, critical dependencies, and timeline for successful completion of the SRX Firewall Platform implementation.</w:t>
      </w:r>
    </w:p>
    <w:p>
      <w:pPr>
        <w:pStyle w:val="Heading2"/>
        <w:spacing w:before="240" w:after="120"/>
        <w:ind w:left="0"/>
      </w:pPr>
      <w:r>
        <w:t>4.1 Deliverables</w:t>
      </w:r>
    </w:p>
    <w:p>
      <w:pPr>
        <w:pStyle w:val="Heading3"/>
        <w:spacing w:before="160" w:after="120"/>
        <w:ind w:left="0"/>
      </w:pPr>
      <w:r>
        <w:t>4.1.1 3.1 Documentation Deliverables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Security Architecture Document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zones, segmentation strategy, traffic flows, and security design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Policy Migration Analysis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policy review, optimization recommendations, and migration plan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Excel/PDF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Implementation Plan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timeline, cutover strategy, rollback procedures, and risk mitigation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MS Project/PDF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Configuration Standards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SRX configuration templates, naming conventions, and best practices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Test Results Report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Lab validation, performance testing, HA failover testing, and security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As-Built Documentation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network diagrams, zone architecture, policy documentation, and configurations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PDF/Visio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Operations Runbook</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SRX administration procedures, troubleshooting guides, and escalation procedures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Training Materials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guides, quick reference cards, and recorded training sessions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PDF/Video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Deliverables And Timeline</w:t>
      </w:r>
    </w:p>
    <w:p>
      <w:pPr>
        <w:pStyle w:val="Heading3"/>
        <w:spacing w:before="160" w:after="120"/>
        <w:ind w:left="0"/>
      </w:pPr>
      <w:r>
        <w:t>4.1.2 3.2 System Deliverables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Criteria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SRX4600 Datacenter HA Pair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Active/passive HA configuration with 80 Gbps throughput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Passes performance testing, HA failover &lt; 1 second, all security services enabled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10x SRX300 Branch Firewalls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Branch security with SD-WAN integration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Consistent security policies, VPN connectivity operational, SD-WAN routing validated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Security Director Platform</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policy management for 20+ devices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devices managed, policies deployed successfully, monitoring operational</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Advanced Security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 ATP Cloud, SecIntel, SSL inspection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validated, zero-day malware blocked, C2 communications prevented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VPN Infrastructure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site-to-site tunnels + 100 remote access users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tunnels operational, failover tested, user authentication validated</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Monitoring &amp; Integration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 NetFlow, CloudWatch logging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events forwarded, traffic visibility confirmed, alerts functional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Deliverables And Timeline</w:t>
      </w:r>
    </w:p>
    <w:p>
      <w:pPr>
        <w:pStyle w:val="Heading3"/>
        <w:spacing w:before="160" w:after="120"/>
        <w:ind w:left="0"/>
      </w:pPr>
      <w:r>
        <w:t>4.1.3 3.3 Knowledge Transfer Deliverables</w:t>
      </w:r>
    </w:p>
    <w:p>
      <w:pPr>
        <w:spacing w:after="80"/>
        <w:ind w:left="360"/>
      </w:pPr>
      <w:r>
        <w:rPr>
          <w:rFonts w:ascii="Calibri" w:hAnsi="Calibri"/>
          <w:sz w:val="24"/>
        </w:rPr>
        <w:t xml:space="preserve">• </w:t>
      </w:r>
      <w:r>
        <w:rPr>
          <w:rFonts w:ascii="Calibri" w:hAnsi="Calibri"/>
          <w:sz w:val="24"/>
        </w:rPr>
        <w:t>SRX administrator training (2 days, up to 8 participants) covering Junos OS, security policies, and HA management</w:t>
      </w:r>
    </w:p>
    <w:p>
      <w:pPr>
        <w:spacing w:after="80"/>
        <w:ind w:left="360"/>
      </w:pPr>
      <w:r>
        <w:rPr>
          <w:rFonts w:ascii="Calibri" w:hAnsi="Calibri"/>
          <w:sz w:val="24"/>
        </w:rPr>
        <w:t xml:space="preserve">• </w:t>
      </w:r>
      <w:r>
        <w:rPr>
          <w:rFonts w:ascii="Calibri" w:hAnsi="Calibri"/>
          <w:sz w:val="24"/>
        </w:rPr>
        <w:t>Security operations training (1 day, up to 10 participants) covering policy management, threat investigation, and troubleshooting</w:t>
      </w:r>
    </w:p>
    <w:p>
      <w:pPr>
        <w:spacing w:after="80"/>
        <w:ind w:left="360"/>
      </w:pPr>
      <w:r>
        <w:rPr>
          <w:rFonts w:ascii="Calibri" w:hAnsi="Calibri"/>
          <w:sz w:val="24"/>
        </w:rPr>
        <w:t xml:space="preserve">• </w:t>
      </w:r>
      <w:r>
        <w:rPr>
          <w:rFonts w:ascii="Calibri" w:hAnsi="Calibri"/>
          <w:sz w:val="24"/>
        </w:rPr>
        <w:t>Technical documentation including architecture diagrams, configuration guides, and operational procedures</w:t>
      </w:r>
    </w:p>
    <w:p>
      <w:pPr>
        <w:spacing w:after="80"/>
        <w:ind w:left="360"/>
      </w:pPr>
      <w:r>
        <w:rPr>
          <w:rFonts w:ascii="Calibri" w:hAnsi="Calibri"/>
          <w:sz w:val="24"/>
        </w:rPr>
        <w:t xml:space="preserve">• </w:t>
      </w:r>
      <w:r>
        <w:rPr>
          <w:rFonts w:ascii="Calibri" w:hAnsi="Calibri"/>
          <w:sz w:val="24"/>
        </w:rPr>
        <w:t>Recorded training sessions for future reference and new team member onboarding</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Start 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 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Milestones</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Discovery &amp; Planning</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designed, Policy migration plan approved, Lab validation completed</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Datacenter Deployment</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SRX4600 HA deployed, Traffic migrated zone-by-zone, Security services enabled</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Branch Deployment</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SRX300 deployed, SD-WAN operational, VPN tunnels established</w:t>
            </w:r>
          </w:p>
        </w:tc>
      </w:tr>
      <w:tr>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Optimization &amp; Handoff</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week</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7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[DATE]</w:t>
            </w:r>
          </w:p>
        </w:tc>
        <w:tc>
          <w:tcPr>
            <w:tcW w:type="dxa" w:w="34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Policies optimized, Training completed, Documentation delivered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Deliverables And Timeline</w:t>
      </w:r>
    </w:p>
    <w:p>
      <w:pPr>
        <w:pStyle w:val="Heading3"/>
        <w:spacing w:before="160" w:after="120"/>
        <w:ind w:left="0"/>
      </w:pPr>
      <w:r>
        <w:t>4.2.1 4.2 Critical Milestones</w:t>
      </w:r>
    </w:p>
    <w:p>
      <w:pPr>
        <w:spacing w:after="80"/>
        <w:ind w:left="360"/>
      </w:pPr>
      <w:r>
        <w:rPr>
          <w:rFonts w:ascii="Calibri" w:hAnsi="Calibri"/>
          <w:sz w:val="24"/>
        </w:rPr>
        <w:t xml:space="preserve">• </w:t>
      </w:r>
      <w:r>
        <w:rPr>
          <w:rFonts w:ascii="Calibri" w:hAnsi="Calibri"/>
          <w:b/>
          <w:sz w:val="24"/>
        </w:rPr>
        <w:t>Week 2:</w:t>
      </w:r>
      <w:r>
        <w:rPr>
          <w:rFonts w:ascii="Calibri" w:hAnsi="Calibri"/>
          <w:sz w:val="24"/>
        </w:rPr>
        <w:t xml:space="preserve"> Security architecture design review and approval</w:t>
      </w:r>
    </w:p>
    <w:p>
      <w:pPr>
        <w:spacing w:after="80"/>
        <w:ind w:left="360"/>
      </w:pPr>
      <w:r>
        <w:rPr>
          <w:rFonts w:ascii="Calibri" w:hAnsi="Calibri"/>
          <w:sz w:val="24"/>
        </w:rPr>
        <w:t xml:space="preserve">• </w:t>
      </w:r>
      <w:r>
        <w:rPr>
          <w:rFonts w:ascii="Calibri" w:hAnsi="Calibri"/>
          <w:b/>
          <w:sz w:val="24"/>
        </w:rPr>
        <w:t>Week 4:</w:t>
      </w:r>
      <w:r>
        <w:rPr>
          <w:rFonts w:ascii="Calibri" w:hAnsi="Calibri"/>
          <w:sz w:val="24"/>
        </w:rPr>
        <w:t xml:space="preserve"> Lab validation completed with successful policy migration testing</w:t>
      </w:r>
    </w:p>
    <w:p>
      <w:pPr>
        <w:spacing w:after="80"/>
        <w:ind w:left="360"/>
      </w:pPr>
      <w:r>
        <w:rPr>
          <w:rFonts w:ascii="Calibri" w:hAnsi="Calibri"/>
          <w:sz w:val="24"/>
        </w:rPr>
        <w:t xml:space="preserve">• </w:t>
      </w:r>
      <w:r>
        <w:rPr>
          <w:rFonts w:ascii="Calibri" w:hAnsi="Calibri"/>
          <w:b/>
          <w:sz w:val="24"/>
        </w:rPr>
        <w:t>Week 6:</w:t>
      </w:r>
      <w:r>
        <w:rPr>
          <w:rFonts w:ascii="Calibri" w:hAnsi="Calibri"/>
          <w:sz w:val="24"/>
        </w:rPr>
        <w:t xml:space="preserve"> First datacenter zone migrated to SRX4600 with production traffic</w:t>
      </w:r>
    </w:p>
    <w:p>
      <w:pPr>
        <w:spacing w:after="80"/>
        <w:ind w:left="360"/>
      </w:pPr>
      <w:r>
        <w:rPr>
          <w:rFonts w:ascii="Calibri" w:hAnsi="Calibri"/>
          <w:sz w:val="24"/>
        </w:rPr>
        <w:t xml:space="preserve">• </w:t>
      </w:r>
      <w:r>
        <w:rPr>
          <w:rFonts w:ascii="Calibri" w:hAnsi="Calibri"/>
          <w:b/>
          <w:sz w:val="24"/>
        </w:rPr>
        <w:t>Week 8:</w:t>
      </w:r>
      <w:r>
        <w:rPr>
          <w:rFonts w:ascii="Calibri" w:hAnsi="Calibri"/>
          <w:sz w:val="24"/>
        </w:rPr>
        <w:t xml:space="preserve"> Datacenter migration completed with all zones operational on SRX</w:t>
      </w:r>
    </w:p>
    <w:p>
      <w:pPr>
        <w:spacing w:after="80"/>
        <w:ind w:left="360"/>
      </w:pPr>
      <w:r>
        <w:rPr>
          <w:rFonts w:ascii="Calibri" w:hAnsi="Calibri"/>
          <w:sz w:val="24"/>
        </w:rPr>
        <w:t xml:space="preserve">• </w:t>
      </w:r>
      <w:r>
        <w:rPr>
          <w:rFonts w:ascii="Calibri" w:hAnsi="Calibri"/>
          <w:b/>
          <w:sz w:val="24"/>
        </w:rPr>
        <w:t>Week 9:</w:t>
      </w:r>
      <w:r>
        <w:rPr>
          <w:rFonts w:ascii="Calibri" w:hAnsi="Calibri"/>
          <w:sz w:val="24"/>
        </w:rPr>
        <w:t xml:space="preserve"> First branch pilot site deployed with SD-WAN operational</w:t>
      </w:r>
    </w:p>
    <w:p>
      <w:pPr>
        <w:spacing w:after="80"/>
        <w:ind w:left="360"/>
      </w:pPr>
      <w:r>
        <w:rPr>
          <w:rFonts w:ascii="Calibri" w:hAnsi="Calibri"/>
          <w:sz w:val="24"/>
        </w:rPr>
        <w:t xml:space="preserve">• </w:t>
      </w:r>
      <w:r>
        <w:rPr>
          <w:rFonts w:ascii="Calibri" w:hAnsi="Calibri"/>
          <w:b/>
          <w:sz w:val="24"/>
        </w:rPr>
        <w:t>Week 11:</w:t>
      </w:r>
      <w:r>
        <w:rPr>
          <w:rFonts w:ascii="Calibri" w:hAnsi="Calibri"/>
          <w:sz w:val="24"/>
        </w:rPr>
        <w:t xml:space="preserve"> All 10 branch sites deployed with centralized management</w:t>
      </w:r>
    </w:p>
    <w:p>
      <w:pPr>
        <w:spacing w:after="80"/>
        <w:ind w:left="360"/>
      </w:pPr>
      <w:r>
        <w:rPr>
          <w:rFonts w:ascii="Calibri" w:hAnsi="Calibri"/>
          <w:sz w:val="24"/>
        </w:rPr>
        <w:t xml:space="preserve">• </w:t>
      </w:r>
      <w:r>
        <w:rPr>
          <w:rFonts w:ascii="Calibri" w:hAnsi="Calibri"/>
          <w:b/>
          <w:sz w:val="24"/>
        </w:rPr>
        <w:t>Week 12:</w:t>
      </w:r>
      <w:r>
        <w:rPr>
          <w:rFonts w:ascii="Calibri" w:hAnsi="Calibri"/>
          <w:sz w:val="24"/>
        </w:rPr>
        <w:t xml:space="preserve"> Project acceptance and production handoff</w:t>
      </w:r>
    </w:p>
    <w:p>
      <w:pPr>
        <w:pStyle w:val="Heading3"/>
        <w:spacing w:before="160" w:after="120"/>
        <w:ind w:left="0"/>
      </w:pPr>
      <w:r>
        <w:t>4.2.2 4.3 Critical Dependencies</w:t>
      </w:r>
    </w:p>
    <w:p>
      <w:pPr>
        <w:spacing w:after="80"/>
        <w:ind w:left="360"/>
      </w:pPr>
      <w:r>
        <w:rPr>
          <w:rFonts w:ascii="Calibri" w:hAnsi="Calibri"/>
          <w:sz w:val="24"/>
        </w:rPr>
        <w:t xml:space="preserve">• </w:t>
      </w:r>
      <w:r>
        <w:rPr>
          <w:rFonts w:ascii="Calibri" w:hAnsi="Calibri"/>
          <w:sz w:val="24"/>
        </w:rPr>
        <w:t>[x] Client provides timely access to datacenter facilities, network diagrams, and existing firewall configurations</w:t>
      </w:r>
    </w:p>
    <w:p>
      <w:pPr>
        <w:spacing w:after="80"/>
        <w:ind w:left="360"/>
      </w:pPr>
      <w:r>
        <w:rPr>
          <w:rFonts w:ascii="Calibri" w:hAnsi="Calibri"/>
          <w:sz w:val="24"/>
        </w:rPr>
        <w:t xml:space="preserve">• </w:t>
      </w:r>
      <w:r>
        <w:rPr>
          <w:rFonts w:ascii="Calibri" w:hAnsi="Calibri"/>
          <w:sz w:val="24"/>
        </w:rPr>
        <w:t>[x] Network and security teams available for requirements gathering, testing, and cutover activities</w:t>
      </w:r>
    </w:p>
    <w:p>
      <w:pPr>
        <w:spacing w:after="80"/>
        <w:ind w:left="360"/>
      </w:pPr>
      <w:r>
        <w:rPr>
          <w:rFonts w:ascii="Calibri" w:hAnsi="Calibri"/>
          <w:sz w:val="24"/>
        </w:rPr>
        <w:t xml:space="preserve">• </w:t>
      </w:r>
      <w:r>
        <w:rPr>
          <w:rFonts w:ascii="Calibri" w:hAnsi="Calibri"/>
          <w:sz w:val="24"/>
        </w:rPr>
        <w:t>[x] Maintenance windows approved for low-risk traffic migration during off-peak hours</w:t>
      </w:r>
    </w:p>
    <w:p>
      <w:pPr>
        <w:spacing w:after="80"/>
        <w:ind w:left="360"/>
      </w:pPr>
      <w:r>
        <w:rPr>
          <w:rFonts w:ascii="Calibri" w:hAnsi="Calibri"/>
          <w:sz w:val="24"/>
        </w:rPr>
        <w:t xml:space="preserve">• </w:t>
      </w:r>
      <w:r>
        <w:rPr>
          <w:rFonts w:ascii="Calibri" w:hAnsi="Calibri"/>
          <w:sz w:val="24"/>
        </w:rPr>
        <w:t>[x] SRX hardware delivered with 2-week lead time from project kickoff</w:t>
      </w:r>
    </w:p>
    <w:p>
      <w:pPr>
        <w:spacing w:after="80"/>
        <w:ind w:left="360"/>
      </w:pPr>
      <w:r>
        <w:rPr>
          <w:rFonts w:ascii="Calibri" w:hAnsi="Calibri"/>
          <w:sz w:val="24"/>
        </w:rPr>
        <w:t xml:space="preserve">• </w:t>
      </w:r>
      <w:r>
        <w:rPr>
          <w:rFonts w:ascii="Calibri" w:hAnsi="Calibri"/>
          <w:sz w:val="24"/>
        </w:rPr>
        <w:t>[x] SIEM and monitoring system access for integration testing</w:t>
      </w:r>
    </w:p>
    <w:p>
      <w:pPr>
        <w:spacing w:after="80"/>
        <w:ind w:left="360"/>
      </w:pPr>
      <w:r>
        <w:rPr>
          <w:rFonts w:ascii="Calibri" w:hAnsi="Calibri"/>
          <w:sz w:val="24"/>
        </w:rPr>
        <w:t xml:space="preserve">• </w:t>
      </w:r>
      <w:r>
        <w:rPr>
          <w:rFonts w:ascii="Calibri" w:hAnsi="Calibri"/>
          <w:sz w:val="24"/>
        </w:rPr>
        <w:t>[x] Cloud environment access (AWS, Azure, GCP) for VPN configuration and testing</w:t>
      </w:r>
    </w:p>
    <w:p>
      <w:pPr>
        <w:pStyle w:val="Heading1"/>
        <w:spacing w:before="160" w:after="120"/>
        <w:ind w:left="0"/>
      </w:pPr>
      <w:r>
        <w:t>5 Roles &amp; Responsibilities</w:t>
      </w:r>
    </w:p>
    <w:p>
      <w:pPr>
        <w:pStyle w:val="Heading3"/>
        <w:spacing w:before="160" w:after="120"/>
        <w:ind w:left="0"/>
      </w:pPr>
      <w:r>
        <w:t>5.1 5.1 Vendor Responsibilities ([VENDOR_NAME])</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Overall project coordination, timeline management, and stakeholder communication</w:t>
      </w:r>
    </w:p>
    <w:p>
      <w:pPr>
        <w:spacing w:after="80"/>
        <w:ind w:left="360"/>
      </w:pPr>
      <w:r>
        <w:rPr>
          <w:rFonts w:ascii="Calibri" w:hAnsi="Calibri"/>
          <w:sz w:val="24"/>
        </w:rPr>
        <w:t xml:space="preserve">• </w:t>
      </w:r>
      <w:r>
        <w:rPr>
          <w:rFonts w:ascii="Calibri" w:hAnsi="Calibri"/>
          <w:b/>
          <w:sz w:val="24"/>
        </w:rPr>
        <w:t>Security Architect:</w:t>
      </w:r>
      <w:r>
        <w:rPr>
          <w:rFonts w:ascii="Calibri" w:hAnsi="Calibri"/>
          <w:sz w:val="24"/>
        </w:rPr>
        <w:t xml:space="preserve"> Security design, policy migration strategy, and architecture oversight</w:t>
      </w:r>
    </w:p>
    <w:p>
      <w:pPr>
        <w:spacing w:after="80"/>
        <w:ind w:left="360"/>
      </w:pPr>
      <w:r>
        <w:rPr>
          <w:rFonts w:ascii="Calibri" w:hAnsi="Calibri"/>
          <w:sz w:val="24"/>
        </w:rPr>
        <w:t xml:space="preserve">• </w:t>
      </w:r>
      <w:r>
        <w:rPr>
          <w:rFonts w:ascii="Calibri" w:hAnsi="Calibri"/>
          <w:b/>
          <w:sz w:val="24"/>
        </w:rPr>
        <w:t>Senior Implementation Engineer:</w:t>
      </w:r>
      <w:r>
        <w:rPr>
          <w:rFonts w:ascii="Calibri" w:hAnsi="Calibri"/>
          <w:sz w:val="24"/>
        </w:rPr>
        <w:t xml:space="preserve"> SRX deployment, configuration, and advanced security services</w:t>
      </w:r>
    </w:p>
    <w:p>
      <w:pPr>
        <w:spacing w:after="80"/>
        <w:ind w:left="360"/>
      </w:pPr>
      <w:r>
        <w:rPr>
          <w:rFonts w:ascii="Calibri" w:hAnsi="Calibri"/>
          <w:sz w:val="24"/>
        </w:rPr>
        <w:t xml:space="preserve">• </w:t>
      </w:r>
      <w:r>
        <w:rPr>
          <w:rFonts w:ascii="Calibri" w:hAnsi="Calibri"/>
          <w:b/>
          <w:sz w:val="24"/>
        </w:rPr>
        <w:t>Network Engineer:</w:t>
      </w:r>
      <w:r>
        <w:rPr>
          <w:rFonts w:ascii="Calibri" w:hAnsi="Calibri"/>
          <w:sz w:val="24"/>
        </w:rPr>
        <w:t xml:space="preserve"> Routing, VPN, and SD-WAN configuration and integration</w:t>
      </w:r>
    </w:p>
    <w:p>
      <w:pPr>
        <w:spacing w:after="80"/>
        <w:ind w:left="360"/>
      </w:pPr>
      <w:r>
        <w:rPr>
          <w:rFonts w:ascii="Calibri" w:hAnsi="Calibri"/>
          <w:sz w:val="24"/>
        </w:rPr>
        <w:t xml:space="preserve">• </w:t>
      </w:r>
      <w:r>
        <w:rPr>
          <w:rFonts w:ascii="Calibri" w:hAnsi="Calibri"/>
          <w:b/>
          <w:sz w:val="24"/>
        </w:rPr>
        <w:t>Training Specialist:</w:t>
      </w:r>
      <w:r>
        <w:rPr>
          <w:rFonts w:ascii="Calibri" w:hAnsi="Calibri"/>
          <w:sz w:val="24"/>
        </w:rPr>
        <w:t xml:space="preserve"> Administrator and operations training delivery and knowledge transfer</w:t>
      </w:r>
    </w:p>
    <w:p>
      <w:pPr>
        <w:spacing w:after="80"/>
        <w:ind w:left="360"/>
      </w:pPr>
      <w:r>
        <w:rPr>
          <w:rFonts w:ascii="Calibri" w:hAnsi="Calibri"/>
          <w:sz w:val="24"/>
        </w:rPr>
        <w:t xml:space="preserve">• </w:t>
      </w:r>
      <w:r>
        <w:rPr>
          <w:rFonts w:ascii="Calibri" w:hAnsi="Calibri"/>
          <w:b/>
          <w:sz w:val="24"/>
        </w:rPr>
        <w:t>Support Engineer:</w:t>
      </w:r>
      <w:r>
        <w:rPr>
          <w:rFonts w:ascii="Calibri" w:hAnsi="Calibri"/>
          <w:sz w:val="24"/>
        </w:rPr>
        <w:t xml:space="preserve"> Post-deployment support during 30-day warranty period</w:t>
      </w:r>
    </w:p>
    <w:p>
      <w:pPr>
        <w:pStyle w:val="Heading3"/>
        <w:spacing w:before="160" w:after="120"/>
        <w:ind w:left="0"/>
      </w:pPr>
      <w:r>
        <w:t>5.2 5.2 Client Responsibilities ([CLIENT_NAME])</w:t>
      </w:r>
    </w:p>
    <w:p>
      <w:pPr>
        <w:spacing w:after="80"/>
        <w:ind w:left="360"/>
      </w:pPr>
      <w:r>
        <w:rPr>
          <w:rFonts w:ascii="Calibri" w:hAnsi="Calibri"/>
          <w:sz w:val="24"/>
        </w:rPr>
        <w:t xml:space="preserve">• </w:t>
      </w:r>
      <w:r>
        <w:rPr>
          <w:rFonts w:ascii="Calibri" w:hAnsi="Calibri"/>
          <w:b/>
          <w:sz w:val="24"/>
        </w:rPr>
        <w:t>Project Sponsor:</w:t>
      </w:r>
      <w:r>
        <w:rPr>
          <w:rFonts w:ascii="Calibri" w:hAnsi="Calibri"/>
          <w:sz w:val="24"/>
        </w:rPr>
        <w:t xml:space="preserve"> Executive oversight, business decision authority, and resource allocation</w:t>
      </w:r>
    </w:p>
    <w:p>
      <w:pPr>
        <w:spacing w:after="80"/>
        <w:ind w:left="360"/>
      </w:pPr>
      <w:r>
        <w:rPr>
          <w:rFonts w:ascii="Calibri" w:hAnsi="Calibri"/>
          <w:sz w:val="24"/>
        </w:rPr>
        <w:t xml:space="preserve">• </w:t>
      </w:r>
      <w:r>
        <w:rPr>
          <w:rFonts w:ascii="Calibri" w:hAnsi="Calibri"/>
          <w:b/>
          <w:sz w:val="24"/>
        </w:rPr>
        <w:t>Network Manager:</w:t>
      </w:r>
      <w:r>
        <w:rPr>
          <w:rFonts w:ascii="Calibri" w:hAnsi="Calibri"/>
          <w:sz w:val="24"/>
        </w:rPr>
        <w:t xml:space="preserve"> Infrastructure coordination, change approvals, and technical escalation</w:t>
      </w:r>
    </w:p>
    <w:p>
      <w:pPr>
        <w:spacing w:after="80"/>
        <w:ind w:left="360"/>
      </w:pPr>
      <w:r>
        <w:rPr>
          <w:rFonts w:ascii="Calibri" w:hAnsi="Calibri"/>
          <w:sz w:val="24"/>
        </w:rPr>
        <w:t xml:space="preserve">• </w:t>
      </w:r>
      <w:r>
        <w:rPr>
          <w:rFonts w:ascii="Calibri" w:hAnsi="Calibri"/>
          <w:b/>
          <w:sz w:val="24"/>
        </w:rPr>
        <w:t>Security Lead:</w:t>
      </w:r>
      <w:r>
        <w:rPr>
          <w:rFonts w:ascii="Calibri" w:hAnsi="Calibri"/>
          <w:sz w:val="24"/>
        </w:rPr>
        <w:t xml:space="preserve"> Policy review, security requirements validation, and acceptance testing</w:t>
      </w:r>
    </w:p>
    <w:p>
      <w:pPr>
        <w:spacing w:after="80"/>
        <w:ind w:left="360"/>
      </w:pPr>
      <w:r>
        <w:rPr>
          <w:rFonts w:ascii="Calibri" w:hAnsi="Calibri"/>
          <w:sz w:val="24"/>
        </w:rPr>
        <w:t xml:space="preserve">• </w:t>
      </w:r>
      <w:r>
        <w:rPr>
          <w:rFonts w:ascii="Calibri" w:hAnsi="Calibri"/>
          <w:b/>
          <w:sz w:val="24"/>
        </w:rPr>
        <w:t>Firewall Administrators:</w:t>
      </w:r>
      <w:r>
        <w:rPr>
          <w:rFonts w:ascii="Calibri" w:hAnsi="Calibri"/>
          <w:sz w:val="24"/>
        </w:rPr>
        <w:t xml:space="preserve"> Hands-on participation in deployment, testing, and knowledge transfer</w:t>
      </w:r>
    </w:p>
    <w:p>
      <w:pPr>
        <w:spacing w:after="80"/>
        <w:ind w:left="360"/>
      </w:pPr>
      <w:r>
        <w:rPr>
          <w:rFonts w:ascii="Calibri" w:hAnsi="Calibri"/>
          <w:sz w:val="24"/>
        </w:rPr>
        <w:t xml:space="preserve">• </w:t>
      </w:r>
      <w:r>
        <w:rPr>
          <w:rFonts w:ascii="Calibri" w:hAnsi="Calibri"/>
          <w:b/>
          <w:sz w:val="24"/>
        </w:rPr>
        <w:t>Operations Team:</w:t>
      </w:r>
      <w:r>
        <w:rPr>
          <w:rFonts w:ascii="Calibri" w:hAnsi="Calibri"/>
          <w:sz w:val="24"/>
        </w:rPr>
        <w:t xml:space="preserve"> Post-deployment system administration and ongoing maintenance</w:t>
      </w:r>
    </w:p>
    <w:p>
      <w:pPr>
        <w:pStyle w:val="Heading3"/>
        <w:spacing w:before="160" w:after="120"/>
        <w:ind w:left="0"/>
      </w:pPr>
      <w:r>
        <w:t>5.3 5.3 Shared Responsibilities</w:t>
      </w:r>
    </w:p>
    <w:p>
      <w:pPr>
        <w:spacing w:after="80"/>
        <w:ind w:left="360"/>
      </w:pPr>
      <w:r>
        <w:rPr>
          <w:rFonts w:ascii="Calibri" w:hAnsi="Calibri"/>
          <w:sz w:val="24"/>
        </w:rPr>
        <w:t xml:space="preserve">• </w:t>
      </w:r>
      <w:r>
        <w:rPr>
          <w:rFonts w:ascii="Calibri" w:hAnsi="Calibri"/>
          <w:sz w:val="24"/>
        </w:rPr>
        <w:t>Risk management and issue escalation procedures</w:t>
      </w:r>
    </w:p>
    <w:p>
      <w:pPr>
        <w:spacing w:after="80"/>
        <w:ind w:left="360"/>
      </w:pPr>
      <w:r>
        <w:rPr>
          <w:rFonts w:ascii="Calibri" w:hAnsi="Calibri"/>
          <w:sz w:val="24"/>
        </w:rPr>
        <w:t xml:space="preserve">• </w:t>
      </w:r>
      <w:r>
        <w:rPr>
          <w:rFonts w:ascii="Calibri" w:hAnsi="Calibri"/>
          <w:sz w:val="24"/>
        </w:rPr>
        <w:t>Change control and maintenance window coordination</w:t>
      </w:r>
    </w:p>
    <w:p>
      <w:pPr>
        <w:spacing w:after="80"/>
        <w:ind w:left="360"/>
      </w:pPr>
      <w:r>
        <w:rPr>
          <w:rFonts w:ascii="Calibri" w:hAnsi="Calibri"/>
          <w:sz w:val="24"/>
        </w:rPr>
        <w:t xml:space="preserve">• </w:t>
      </w:r>
      <w:r>
        <w:rPr>
          <w:rFonts w:ascii="Calibri" w:hAnsi="Calibri"/>
          <w:sz w:val="24"/>
        </w:rPr>
        <w:t>Quality assurance and acceptance testing validation</w:t>
      </w:r>
    </w:p>
    <w:p>
      <w:pPr>
        <w:spacing w:after="80"/>
        <w:ind w:left="360"/>
      </w:pPr>
      <w:r>
        <w:rPr>
          <w:rFonts w:ascii="Calibri" w:hAnsi="Calibri"/>
          <w:sz w:val="24"/>
        </w:rPr>
        <w:t xml:space="preserve">• </w:t>
      </w:r>
      <w:r>
        <w:rPr>
          <w:rFonts w:ascii="Calibri" w:hAnsi="Calibri"/>
          <w:sz w:val="24"/>
        </w:rPr>
        <w:t>Communication and stakeholder management throughout project lifecycle</w:t>
      </w:r>
    </w:p>
    <w:p>
      <w:pPr>
        <w:pStyle w:val="Heading1"/>
        <w:spacing w:before="160" w:after="120"/>
        <w:ind w:left="0"/>
      </w:pPr>
      <w:r>
        <w:t>6 Architecture &amp; Design</w:t>
      </w:r>
    </w:p>
    <w:p>
      <w:r>
        <w:rPr>
          <w:rFonts w:ascii="Calibri" w:hAnsi="Calibri"/>
          <w:sz w:val="24"/>
        </w:rPr>
        <w:t>This section outlines the technical architecture, design principles, and infrastructure components for the SRX Firewall Platform implementation.</w:t>
      </w:r>
    </w:p>
    <w:p>
      <w:pPr>
        <w:pStyle w:val="Heading2"/>
        <w:spacing w:before="240" w:after="120"/>
        <w:ind w:left="0"/>
      </w:pPr>
      <w:r>
        <w:t>6.1 Architecture Overview</w:t>
      </w:r>
    </w:p>
    <w:p>
      <w:r>
        <w:rPr>
          <w:rFonts w:ascii="Calibri" w:hAnsi="Calibri"/>
          <w:sz w:val="24"/>
        </w:rPr>
        <w:t>The solution implements a multi-zone security architecture with datacenter and branch firewall deployment. The datacenter deployment features an SRX4600 HA pair providing 80 Gbps throughput with full security services, while branch locations utilize SRX300 firewalls with integrated SD-WAN capabilities. Centralized management is provided through Junos Space Security Director, enabling unified policy management across all devices. The architecture supports high availability with active/passive failover, advanced threat prevention through IPS and ATP Cloud, and seamless multi-cloud VPN connectivity to AWS, Azure, and GCP environments.</w:t>
      </w:r>
    </w:p>
    <w:p>
      <w:pPr>
        <w:pStyle w:val="Heading1"/>
        <w:spacing w:before="160" w:after="120"/>
        <w:ind w:left="0"/>
      </w:pPr>
      <w:r>
        <w:t>7 Security &amp; Compliance</w:t>
      </w:r>
    </w:p>
    <w:p>
      <w:r>
        <w:rPr>
          <w:rFonts w:ascii="Calibri" w:hAnsi="Calibri"/>
          <w:sz w:val="24"/>
        </w:rPr>
        <w:t>This section describes the security controls, compliance frameworks, and regulatory requirements that the SRX Firewall Platform implementation will address.</w:t>
      </w:r>
    </w:p>
    <w:p>
      <w:pPr>
        <w:pStyle w:val="Heading2"/>
        <w:spacing w:before="240" w:after="120"/>
        <w:ind w:left="0"/>
      </w:pPr>
      <w:r>
        <w:t>7.1 Security Framework</w:t>
      </w:r>
    </w:p>
    <w:p>
      <w:r>
        <w:rPr>
          <w:rFonts w:ascii="Calibri" w:hAnsi="Calibri"/>
          <w:sz w:val="24"/>
        </w:rPr>
        <w:t>The solution implements enterprise-grade security controls including Intrusion Prevention System (IPS) with 40 Gbps inspection throughput, Advanced Threat Prevention (ATP) Cloud sandbox for zero-day malware detection, SecIntel threat intelligence feeds blocking command-and-control communications, and SSL inspection capabilities for encrypted traffic analysis. The platform meets PCI DSS and SOC 2 compliance requirements through comprehensive logging, security event monitoring, and integration with SIEM systems for security event correlation and audit reporting.</w:t>
      </w:r>
    </w:p>
    <w:p>
      <w:pPr>
        <w:pStyle w:val="Heading1"/>
        <w:spacing w:before="160" w:after="120"/>
        <w:ind w:left="0"/>
      </w:pPr>
      <w:r>
        <w:t>8 Testing &amp; Validation</w:t>
      </w:r>
    </w:p>
    <w:p>
      <w:r>
        <w:rPr>
          <w:rFonts w:ascii="Calibri" w:hAnsi="Calibri"/>
          <w:sz w:val="24"/>
        </w:rPr>
        <w:t>This section outlines the testing strategy, validation procedures, and acceptance criteria to ensure the SRX Firewall Platform meets all functional, performance, and security requirements before production deployment.</w:t>
      </w:r>
    </w:p>
    <w:p>
      <w:pPr>
        <w:pStyle w:val="Heading2"/>
        <w:spacing w:before="240" w:after="120"/>
        <w:ind w:left="0"/>
      </w:pPr>
      <w:r>
        <w:t>8.1 Testing Strategy</w:t>
      </w:r>
    </w:p>
    <w:p>
      <w:r>
        <w:rPr>
          <w:rFonts w:ascii="Calibri" w:hAnsi="Calibri"/>
          <w:sz w:val="24"/>
        </w:rPr>
        <w:t>The implementation follows a comprehensive testing approach including lab validation of security policies before production migration, performance testing to validate 80 Gbps throughput with full security services enabled, high availability failover testing to confirm sub-second failover between active and passive firewalls, security validation to verify IPS threat detection and ATP Cloud malware blocking, integration testing with SIEM and monitoring systems, and user acceptance testing with network and security teams. All testing is performed in a dedicated lab environment before any production changes to minimize risk and ensure zero business disruption during cutover.</w:t>
      </w:r>
    </w:p>
    <w:p>
      <w:pPr>
        <w:pStyle w:val="Heading1"/>
        <w:spacing w:before="160" w:after="120"/>
        <w:ind w:left="0"/>
      </w:pPr>
      <w:r>
        <w:t>9 Handover &amp; Support</w:t>
      </w:r>
    </w:p>
    <w:p>
      <w:r>
        <w:rPr>
          <w:rFonts w:ascii="Calibri" w:hAnsi="Calibri"/>
          <w:sz w:val="24"/>
        </w:rPr>
        <w:t>This section defines the knowledge transfer activities, training deliverables, documentation handover, and post-implementation support provided to ensure successful transition to Client operations team.</w:t>
      </w:r>
    </w:p>
    <w:p>
      <w:pPr>
        <w:pStyle w:val="Heading2"/>
        <w:spacing w:before="240" w:after="120"/>
        <w:ind w:left="0"/>
      </w:pPr>
      <w:r>
        <w:t>9.1 Knowledge Transfer and Support</w:t>
      </w:r>
    </w:p>
    <w:p>
      <w:r>
        <w:rPr>
          <w:rFonts w:ascii="Calibri" w:hAnsi="Calibri"/>
          <w:sz w:val="24"/>
        </w:rPr>
        <w:t>The handover phase includes comprehensive administrator training (2 days, up to 8 participants) covering Junos OS, security policy management, and HA failover procedures, security operations training (1 day, up to 10 participants) covering threat investigation and troubleshooting, complete as-built documentation including network diagrams, zone architecture, and configuration details, operations runbook with standard operating procedures and escalation guidelines, and 30-day warranty support period for issue resolution and optimization assistance. All training sessions will be recorded for future reference and new team member onboarding.</w:t>
      </w:r>
    </w:p>
    <w:p>
      <w:pPr>
        <w:pStyle w:val="Heading1"/>
        <w:spacing w:before="160" w:after="120"/>
        <w:ind w:left="0"/>
      </w:pPr>
      <w:r>
        <w:t>10 Investment Summary</w:t>
      </w:r>
    </w:p>
    <w:p>
      <w:r>
        <w:rPr>
          <w:rFonts w:ascii="Calibri" w:hAnsi="Calibri"/>
          <w:sz w:val="24"/>
        </w:rPr>
        <w:t>This section provides a detailed breakdown of project costs, payment terms, and ongoing annual expenses for the SRX Firewall Platform implementation.</w:t>
      </w:r>
    </w:p>
    <w:p>
      <w:pPr>
        <w:pStyle w:val="Heading3"/>
        <w:spacing w:before="160" w:after="120"/>
        <w:ind w:left="0"/>
      </w:pPr>
      <w:r>
        <w:t>10.1 6.1 Project Investment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Hardware &amp; Equipment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SRX4600 HA pair, 10x SRX300, power supplies, transceivers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$164,200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Software Licenses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 SecIntel, ATP Cloud, SSL inspection, Security Director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$98,000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Support &amp; Maintenance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JTAC support (Year 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Professional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integration, testing, training, project management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$101,300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Year 1 Credits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 software, and support promotional discounts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YEAR 1 INVESTMENT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Complete solution with implementation and first year 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$382,500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Investment Summary</w:t>
      </w:r>
    </w:p>
    <w:p>
      <w:pPr>
        <w:pStyle w:val="Heading3"/>
        <w:spacing w:before="160" w:after="120"/>
        <w:ind w:left="0"/>
      </w:pPr>
      <w:r>
        <w:t>10.2 6.2 Ongoing Annual Costs (Years 2-3)</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Cost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Software Subscriptions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$30,600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 SecIntel, ATP Cloud, Content Security annual renewals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Support &amp; Maintenance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Premium JTAC support with 4-hour hardware replacement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ANNUAL COST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$78,600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Recurring annual investment for Years 2-3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Investment Summary</w:t>
      </w:r>
    </w:p>
    <w:p>
      <w:r>
        <w:rPr>
          <w:rFonts w:ascii="Calibri" w:hAnsi="Calibri"/>
          <w:b/>
          <w:sz w:val="24"/>
        </w:rPr>
        <w:t>3-Year Total Cost of Ownership:</w:t>
      </w:r>
      <w:r>
        <w:rPr>
          <w:rFonts w:ascii="Calibri" w:hAnsi="Calibri"/>
          <w:sz w:val="24"/>
        </w:rPr>
        <w:t xml:space="preserve"> $539,700</w:t>
      </w:r>
    </w:p>
    <w:p>
      <w:pPr>
        <w:pStyle w:val="Heading3"/>
        <w:spacing w:before="160" w:after="120"/>
        <w:ind w:left="0"/>
      </w:pPr>
      <w:r>
        <w:t>10.3 6.3 Payment Terms</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SOW execution and project kickoff ($95,625)</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completion of Discovery &amp; Planning phase with architecture approval ($95,625)</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datacenter deployment completion with traffic migration ($95,625)</w:t>
      </w:r>
    </w:p>
    <w:p>
      <w:pPr>
        <w:spacing w:after="80"/>
        <w:ind w:left="360"/>
      </w:pPr>
      <w:r>
        <w:rPr>
          <w:rFonts w:ascii="Calibri" w:hAnsi="Calibri"/>
          <w:sz w:val="24"/>
        </w:rPr>
        <w:t xml:space="preserve">• </w:t>
      </w:r>
      <w:r>
        <w:rPr>
          <w:rFonts w:ascii="Calibri" w:hAnsi="Calibri"/>
          <w:b/>
          <w:sz w:val="24"/>
        </w:rPr>
        <w:t>25%</w:t>
      </w:r>
      <w:r>
        <w:rPr>
          <w:rFonts w:ascii="Calibri" w:hAnsi="Calibri"/>
          <w:sz w:val="24"/>
        </w:rPr>
        <w:t xml:space="preserve"> upon successful project acceptance and production handoff ($95,625)</w:t>
      </w:r>
    </w:p>
    <w:p>
      <w:pPr>
        <w:pStyle w:val="Heading3"/>
        <w:spacing w:before="160" w:after="120"/>
        <w:ind w:left="0"/>
      </w:pPr>
      <w:r>
        <w:t>10.4 6.4 Additional Services</w:t>
      </w:r>
    </w:p>
    <w:p>
      <w:r>
        <w:rPr>
          <w:rFonts w:ascii="Calibri" w:hAnsi="Calibri"/>
          <w:sz w:val="24"/>
        </w:rPr>
        <w:t>Any additional services beyond the scope of this SOW will be quoted separately and require written approval from both parties. Examples include additional sites, custom application signatures, or extended post-deployment support.</w:t>
      </w:r>
    </w:p>
    <w:p>
      <w:pPr>
        <w:pStyle w:val="Heading1"/>
        <w:spacing w:before="160" w:after="120"/>
        <w:ind w:left="0"/>
      </w:pPr>
      <w:r>
        <w:t>11 Terms &amp; Conditions</w:t>
      </w:r>
    </w:p>
    <w:p>
      <w:r>
        <w:rPr>
          <w:rFonts w:ascii="Calibri" w:hAnsi="Calibri"/>
          <w:sz w:val="24"/>
        </w:rPr>
        <w:t>This section establishes the contractual terms, acceptance criteria, assumptions, constraints, risk management approach, and legal provisions governing the SRX Firewall Platform implementation.</w:t>
      </w:r>
    </w:p>
    <w:p>
      <w:pPr>
        <w:pStyle w:val="Heading2"/>
        <w:spacing w:before="240" w:after="120"/>
        <w:ind w:left="0"/>
      </w:pPr>
      <w:r>
        <w:t>11.1 Acceptance Criteria</w:t>
      </w:r>
    </w:p>
    <w:p>
      <w:pPr>
        <w:pStyle w:val="Heading3"/>
        <w:spacing w:before="160" w:after="120"/>
        <w:ind w:left="0"/>
      </w:pPr>
      <w:r>
        <w:t>11.1.1 7.1 Technical Acceptance</w:t>
      </w:r>
    </w:p>
    <w:p>
      <w:r>
        <w:rPr>
          <w:rFonts w:ascii="Calibri" w:hAnsi="Calibri"/>
          <w:sz w:val="24"/>
        </w:rPr>
        <w:t>The solution will be considered technically accepted when:</w:t>
      </w:r>
    </w:p>
    <w:p>
      <w:pPr>
        <w:spacing w:after="80"/>
        <w:ind w:left="360"/>
      </w:pPr>
      <w:r>
        <w:rPr>
          <w:rFonts w:ascii="Calibri" w:hAnsi="Calibri"/>
          <w:sz w:val="24"/>
        </w:rPr>
        <w:t xml:space="preserve">• </w:t>
      </w:r>
      <w:r>
        <w:rPr>
          <w:rFonts w:ascii="Calibri" w:hAnsi="Calibri"/>
          <w:sz w:val="24"/>
        </w:rPr>
        <w:t>[x] SRX4600 HA pair operational with 80 Gbps throughput validated in performance testing</w:t>
      </w:r>
    </w:p>
    <w:p>
      <w:pPr>
        <w:spacing w:after="80"/>
        <w:ind w:left="360"/>
      </w:pPr>
      <w:r>
        <w:rPr>
          <w:rFonts w:ascii="Calibri" w:hAnsi="Calibri"/>
          <w:sz w:val="24"/>
        </w:rPr>
        <w:t xml:space="preserve">• </w:t>
      </w:r>
      <w:r>
        <w:rPr>
          <w:rFonts w:ascii="Calibri" w:hAnsi="Calibri"/>
          <w:sz w:val="24"/>
        </w:rPr>
        <w:t>[x] All security services enabled (IPS 40 Gbps, SSL inspection 20 Gbps, ATP Cloud, SecIntel)</w:t>
      </w:r>
    </w:p>
    <w:p>
      <w:pPr>
        <w:spacing w:after="80"/>
        <w:ind w:left="360"/>
      </w:pPr>
      <w:r>
        <w:rPr>
          <w:rFonts w:ascii="Calibri" w:hAnsi="Calibri"/>
          <w:sz w:val="24"/>
        </w:rPr>
        <w:t xml:space="preserve">• </w:t>
      </w:r>
      <w:r>
        <w:rPr>
          <w:rFonts w:ascii="Calibri" w:hAnsi="Calibri"/>
          <w:sz w:val="24"/>
        </w:rPr>
        <w:t>[x] High availability tested with sub-second failover between active and passive firewalls</w:t>
      </w:r>
    </w:p>
    <w:p>
      <w:pPr>
        <w:spacing w:after="80"/>
        <w:ind w:left="360"/>
      </w:pPr>
      <w:r>
        <w:rPr>
          <w:rFonts w:ascii="Calibri" w:hAnsi="Calibri"/>
          <w:sz w:val="24"/>
        </w:rPr>
        <w:t xml:space="preserve">• </w:t>
      </w:r>
      <w:r>
        <w:rPr>
          <w:rFonts w:ascii="Calibri" w:hAnsi="Calibri"/>
          <w:sz w:val="24"/>
        </w:rPr>
        <w:t>[x] All 500+ firewall policies migrated and validated with zero business disruption</w:t>
      </w:r>
    </w:p>
    <w:p>
      <w:pPr>
        <w:spacing w:after="80"/>
        <w:ind w:left="360"/>
      </w:pPr>
      <w:r>
        <w:rPr>
          <w:rFonts w:ascii="Calibri" w:hAnsi="Calibri"/>
          <w:sz w:val="24"/>
        </w:rPr>
        <w:t xml:space="preserve">• </w:t>
      </w:r>
      <w:r>
        <w:rPr>
          <w:rFonts w:ascii="Calibri" w:hAnsi="Calibri"/>
          <w:sz w:val="24"/>
        </w:rPr>
        <w:t>[x] 10 branch SRX300 firewalls deployed with SD-WAN and VPN connectivity operational</w:t>
      </w:r>
    </w:p>
    <w:p>
      <w:pPr>
        <w:spacing w:after="80"/>
        <w:ind w:left="360"/>
      </w:pPr>
      <w:r>
        <w:rPr>
          <w:rFonts w:ascii="Calibri" w:hAnsi="Calibri"/>
          <w:sz w:val="24"/>
        </w:rPr>
        <w:t xml:space="preserve">• </w:t>
      </w:r>
      <w:r>
        <w:rPr>
          <w:rFonts w:ascii="Calibri" w:hAnsi="Calibri"/>
          <w:sz w:val="24"/>
        </w:rPr>
        <w:t>[x] Centralized management via Security Director with all devices monitored</w:t>
      </w:r>
    </w:p>
    <w:p>
      <w:pPr>
        <w:spacing w:after="80"/>
        <w:ind w:left="360"/>
      </w:pPr>
      <w:r>
        <w:rPr>
          <w:rFonts w:ascii="Calibri" w:hAnsi="Calibri"/>
          <w:sz w:val="24"/>
        </w:rPr>
        <w:t xml:space="preserve">• </w:t>
      </w:r>
      <w:r>
        <w:rPr>
          <w:rFonts w:ascii="Calibri" w:hAnsi="Calibri"/>
          <w:sz w:val="24"/>
        </w:rPr>
        <w:t>[x] SIEM integration functional with security events forwarded and correlated</w:t>
      </w:r>
    </w:p>
    <w:p>
      <w:pPr>
        <w:spacing w:after="80"/>
        <w:ind w:left="360"/>
      </w:pPr>
      <w:r>
        <w:rPr>
          <w:rFonts w:ascii="Calibri" w:hAnsi="Calibri"/>
          <w:sz w:val="24"/>
        </w:rPr>
        <w:t xml:space="preserve">• </w:t>
      </w:r>
      <w:r>
        <w:rPr>
          <w:rFonts w:ascii="Calibri" w:hAnsi="Calibri"/>
          <w:sz w:val="24"/>
        </w:rPr>
        <w:t>[x] Performance baselines established meeting or exceeding specified requirements</w:t>
      </w:r>
    </w:p>
    <w:p>
      <w:pPr>
        <w:pStyle w:val="Heading3"/>
        <w:spacing w:before="160" w:after="120"/>
        <w:ind w:left="0"/>
      </w:pPr>
      <w:r>
        <w:t>11.1.2 7.2 Business Acceptance</w:t>
      </w:r>
    </w:p>
    <w:p>
      <w:r>
        <w:rPr>
          <w:rFonts w:ascii="Calibri" w:hAnsi="Calibri"/>
          <w:sz w:val="24"/>
        </w:rPr>
        <w:t>The project will be considered complete when:</w:t>
      </w:r>
    </w:p>
    <w:p>
      <w:pPr>
        <w:spacing w:after="80"/>
        <w:ind w:left="360"/>
      </w:pPr>
      <w:r>
        <w:rPr>
          <w:rFonts w:ascii="Calibri" w:hAnsi="Calibri"/>
          <w:sz w:val="24"/>
        </w:rPr>
        <w:t xml:space="preserve">• </w:t>
      </w:r>
      <w:r>
        <w:rPr>
          <w:rFonts w:ascii="Calibri" w:hAnsi="Calibri"/>
          <w:sz w:val="24"/>
        </w:rPr>
        <w:t>[x] Business stakeholders sign-off on zero-downtime migration with no security incidents</w:t>
      </w:r>
    </w:p>
    <w:p>
      <w:pPr>
        <w:spacing w:after="80"/>
        <w:ind w:left="360"/>
      </w:pPr>
      <w:r>
        <w:rPr>
          <w:rFonts w:ascii="Calibri" w:hAnsi="Calibri"/>
          <w:sz w:val="24"/>
        </w:rPr>
        <w:t xml:space="preserve">• </w:t>
      </w:r>
      <w:r>
        <w:rPr>
          <w:rFonts w:ascii="Calibri" w:hAnsi="Calibri"/>
          <w:sz w:val="24"/>
        </w:rPr>
        <w:t>[x] Administrator and operations training completed with knowledge validation</w:t>
      </w:r>
    </w:p>
    <w:p>
      <w:pPr>
        <w:spacing w:after="80"/>
        <w:ind w:left="360"/>
      </w:pPr>
      <w:r>
        <w:rPr>
          <w:rFonts w:ascii="Calibri" w:hAnsi="Calibri"/>
          <w:sz w:val="24"/>
        </w:rPr>
        <w:t xml:space="preserve">• </w:t>
      </w:r>
      <w:r>
        <w:rPr>
          <w:rFonts w:ascii="Calibri" w:hAnsi="Calibri"/>
          <w:sz w:val="24"/>
        </w:rPr>
        <w:t>[x] Documentation delivered and approved including as-built diagrams and runbooks</w:t>
      </w:r>
    </w:p>
    <w:p>
      <w:pPr>
        <w:spacing w:after="80"/>
        <w:ind w:left="360"/>
      </w:pPr>
      <w:r>
        <w:rPr>
          <w:rFonts w:ascii="Calibri" w:hAnsi="Calibri"/>
          <w:sz w:val="24"/>
        </w:rPr>
        <w:t xml:space="preserve">• </w:t>
      </w:r>
      <w:r>
        <w:rPr>
          <w:rFonts w:ascii="Calibri" w:hAnsi="Calibri"/>
          <w:sz w:val="24"/>
        </w:rPr>
        <w:t>[x] System operational in production environment with 99.9% uptime validated</w:t>
      </w:r>
    </w:p>
    <w:p>
      <w:pPr>
        <w:spacing w:after="80"/>
        <w:ind w:left="360"/>
      </w:pPr>
      <w:r>
        <w:rPr>
          <w:rFonts w:ascii="Calibri" w:hAnsi="Calibri"/>
          <w:sz w:val="24"/>
        </w:rPr>
        <w:t xml:space="preserve">• </w:t>
      </w:r>
      <w:r>
        <w:rPr>
          <w:rFonts w:ascii="Calibri" w:hAnsi="Calibri"/>
          <w:sz w:val="24"/>
        </w:rPr>
        <w:t>[x] 30-day warranty period completed with no unresolved critical issues</w:t>
      </w:r>
    </w:p>
    <w:p>
      <w:pPr>
        <w:pStyle w:val="Heading2"/>
        <w:spacing w:before="240" w:after="120"/>
        <w:ind w:left="0"/>
      </w:pPr>
      <w:r>
        <w:t>11.2 Assumptions &amp; Constraints</w:t>
      </w:r>
    </w:p>
    <w:p>
      <w:pPr>
        <w:pStyle w:val="Heading3"/>
        <w:spacing w:before="160" w:after="120"/>
        <w:ind w:left="0"/>
      </w:pPr>
      <w:r>
        <w:t>11.2.1 Assumptions</w:t>
      </w:r>
    </w:p>
    <w:p>
      <w:pPr>
        <w:spacing w:after="80"/>
        <w:ind w:left="360"/>
      </w:pPr>
      <w:r>
        <w:rPr>
          <w:rFonts w:ascii="Calibri" w:hAnsi="Calibri"/>
          <w:sz w:val="24"/>
        </w:rPr>
        <w:t xml:space="preserve">• </w:t>
      </w:r>
      <w:r>
        <w:rPr>
          <w:rFonts w:ascii="Calibri" w:hAnsi="Calibri"/>
          <w:sz w:val="24"/>
        </w:rPr>
        <w:t>Client will provide existing firewall configurations in exportable format for policy migration</w:t>
      </w:r>
    </w:p>
    <w:p>
      <w:pPr>
        <w:spacing w:after="80"/>
        <w:ind w:left="360"/>
      </w:pPr>
      <w:r>
        <w:rPr>
          <w:rFonts w:ascii="Calibri" w:hAnsi="Calibri"/>
          <w:sz w:val="24"/>
        </w:rPr>
        <w:t xml:space="preserve">• </w:t>
      </w:r>
      <w:r>
        <w:rPr>
          <w:rFonts w:ascii="Calibri" w:hAnsi="Calibri"/>
          <w:sz w:val="24"/>
        </w:rPr>
        <w:t>Datacenter rack space, power (dual circuits), and cooling capacity available for SRX4600</w:t>
      </w:r>
    </w:p>
    <w:p>
      <w:pPr>
        <w:spacing w:after="80"/>
        <w:ind w:left="360"/>
      </w:pPr>
      <w:r>
        <w:rPr>
          <w:rFonts w:ascii="Calibri" w:hAnsi="Calibri"/>
          <w:sz w:val="24"/>
        </w:rPr>
        <w:t xml:space="preserve">• </w:t>
      </w:r>
      <w:r>
        <w:rPr>
          <w:rFonts w:ascii="Calibri" w:hAnsi="Calibri"/>
          <w:sz w:val="24"/>
        </w:rPr>
        <w:t>Network connectivity and IP addressing plan provided for all deployment locations</w:t>
      </w:r>
    </w:p>
    <w:p>
      <w:pPr>
        <w:spacing w:after="80"/>
        <w:ind w:left="360"/>
      </w:pPr>
      <w:r>
        <w:rPr>
          <w:rFonts w:ascii="Calibri" w:hAnsi="Calibri"/>
          <w:sz w:val="24"/>
        </w:rPr>
        <w:t xml:space="preserve">• </w:t>
      </w:r>
      <w:r>
        <w:rPr>
          <w:rFonts w:ascii="Calibri" w:hAnsi="Calibri"/>
          <w:sz w:val="24"/>
        </w:rPr>
        <w:t>Maintenance windows available during off-peak hours for traffic migration activities</w:t>
      </w:r>
    </w:p>
    <w:p>
      <w:pPr>
        <w:spacing w:after="80"/>
        <w:ind w:left="360"/>
      </w:pPr>
      <w:r>
        <w:rPr>
          <w:rFonts w:ascii="Calibri" w:hAnsi="Calibri"/>
          <w:sz w:val="24"/>
        </w:rPr>
        <w:t xml:space="preserve">• </w:t>
      </w:r>
      <w:r>
        <w:rPr>
          <w:rFonts w:ascii="Calibri" w:hAnsi="Calibri"/>
          <w:sz w:val="24"/>
        </w:rPr>
        <w:t>Client team members available for requirements gathering, testing, and knowledge transfer</w:t>
      </w:r>
    </w:p>
    <w:p>
      <w:pPr>
        <w:spacing w:after="80"/>
        <w:ind w:left="360"/>
      </w:pPr>
      <w:r>
        <w:rPr>
          <w:rFonts w:ascii="Calibri" w:hAnsi="Calibri"/>
          <w:sz w:val="24"/>
        </w:rPr>
        <w:t xml:space="preserve">• </w:t>
      </w:r>
      <w:r>
        <w:rPr>
          <w:rFonts w:ascii="Calibri" w:hAnsi="Calibri"/>
          <w:sz w:val="24"/>
        </w:rPr>
        <w:t>SIEM and monitoring systems operational with API/syslog access for integration</w:t>
      </w:r>
    </w:p>
    <w:p>
      <w:pPr>
        <w:spacing w:after="80"/>
        <w:ind w:left="360"/>
      </w:pPr>
      <w:r>
        <w:rPr>
          <w:rFonts w:ascii="Calibri" w:hAnsi="Calibri"/>
          <w:sz w:val="24"/>
        </w:rPr>
        <w:t xml:space="preserve">• </w:t>
      </w:r>
      <w:r>
        <w:rPr>
          <w:rFonts w:ascii="Calibri" w:hAnsi="Calibri"/>
          <w:sz w:val="24"/>
        </w:rPr>
        <w:t>Cloud environments (AWS, Azure, GCP) accessible with VPN endpoint configuration rights</w:t>
      </w:r>
    </w:p>
    <w:p>
      <w:pPr>
        <w:pStyle w:val="Heading3"/>
        <w:spacing w:before="160" w:after="120"/>
        <w:ind w:left="0"/>
      </w:pPr>
      <w:r>
        <w:t>11.2.2 8.2 Constraints</w:t>
      </w:r>
    </w:p>
    <w:p>
      <w:pPr>
        <w:spacing w:after="80"/>
        <w:ind w:left="360"/>
      </w:pPr>
      <w:r>
        <w:rPr>
          <w:rFonts w:ascii="Calibri" w:hAnsi="Calibri"/>
          <w:sz w:val="24"/>
        </w:rPr>
        <w:t xml:space="preserve">• </w:t>
      </w:r>
      <w:r>
        <w:rPr>
          <w:rFonts w:ascii="Calibri" w:hAnsi="Calibri"/>
          <w:sz w:val="24"/>
        </w:rPr>
        <w:t>Project timeline assumes SRX hardware delivery within 2 weeks of purchase order</w:t>
      </w:r>
    </w:p>
    <w:p>
      <w:pPr>
        <w:spacing w:after="80"/>
        <w:ind w:left="360"/>
      </w:pPr>
      <w:r>
        <w:rPr>
          <w:rFonts w:ascii="Calibri" w:hAnsi="Calibri"/>
          <w:sz w:val="24"/>
        </w:rPr>
        <w:t xml:space="preserve">• </w:t>
      </w:r>
      <w:r>
        <w:rPr>
          <w:rFonts w:ascii="Calibri" w:hAnsi="Calibri"/>
          <w:sz w:val="24"/>
        </w:rPr>
        <w:t>Traffic migration limited to approved maintenance windows (typically 4-hour blocks)</w:t>
      </w:r>
    </w:p>
    <w:p>
      <w:pPr>
        <w:spacing w:after="80"/>
        <w:ind w:left="360"/>
      </w:pPr>
      <w:r>
        <w:rPr>
          <w:rFonts w:ascii="Calibri" w:hAnsi="Calibri"/>
          <w:sz w:val="24"/>
        </w:rPr>
        <w:t xml:space="preserve">• </w:t>
      </w:r>
      <w:r>
        <w:rPr>
          <w:rFonts w:ascii="Calibri" w:hAnsi="Calibri"/>
          <w:sz w:val="24"/>
        </w:rPr>
        <w:t>Policy migration complexity may extend timeline if undocumented rules require research</w:t>
      </w:r>
    </w:p>
    <w:p>
      <w:pPr>
        <w:spacing w:after="80"/>
        <w:ind w:left="360"/>
      </w:pPr>
      <w:r>
        <w:rPr>
          <w:rFonts w:ascii="Calibri" w:hAnsi="Calibri"/>
          <w:sz w:val="24"/>
        </w:rPr>
        <w:t xml:space="preserve">• </w:t>
      </w:r>
      <w:r>
        <w:rPr>
          <w:rFonts w:ascii="Calibri" w:hAnsi="Calibri"/>
          <w:sz w:val="24"/>
        </w:rPr>
        <w:t>Branch deployments assume standard network architecture; complex sites may require additional time</w:t>
      </w:r>
    </w:p>
    <w:p>
      <w:pPr>
        <w:spacing w:after="80"/>
        <w:ind w:left="360"/>
      </w:pPr>
      <w:r>
        <w:rPr>
          <w:rFonts w:ascii="Calibri" w:hAnsi="Calibri"/>
          <w:sz w:val="24"/>
        </w:rPr>
        <w:t xml:space="preserve">• </w:t>
      </w:r>
      <w:r>
        <w:rPr>
          <w:rFonts w:ascii="Calibri" w:hAnsi="Calibri"/>
          <w:sz w:val="24"/>
        </w:rPr>
        <w:t>All activities must comply with client change management and security approval processes</w:t>
      </w:r>
    </w:p>
    <w:p>
      <w:pPr>
        <w:spacing w:after="80"/>
        <w:ind w:left="360"/>
      </w:pPr>
      <w:r>
        <w:rPr>
          <w:rFonts w:ascii="Calibri" w:hAnsi="Calibri"/>
          <w:sz w:val="24"/>
        </w:rPr>
        <w:t xml:space="preserve">• </w:t>
      </w:r>
      <w:r>
        <w:rPr>
          <w:rFonts w:ascii="Calibri" w:hAnsi="Calibri"/>
          <w:sz w:val="24"/>
        </w:rPr>
        <w:t>Solution must integrate with existing SIEM, monitoring, and network management tools</w:t>
      </w:r>
    </w:p>
    <w:p>
      <w:pPr>
        <w:pStyle w:val="Heading2"/>
        <w:spacing w:before="240" w:after="120"/>
        <w:ind w:left="0"/>
      </w:pPr>
      <w:r>
        <w:t>11.3 Risk Management</w:t>
      </w:r>
    </w:p>
    <w:p>
      <w:pPr>
        <w:pStyle w:val="Heading3"/>
        <w:spacing w:before="160" w:after="120"/>
        <w:ind w:left="0"/>
      </w:pPr>
      <w:r>
        <w:t>11.3.1 Identified Risks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Probability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 Strategy</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Policy Migration Complexity</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Lab validation with parallel testing environment before production migration</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Hardware Delivery Delays</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Order equipment immediately upon SOW execution with expedited shipping</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Maintenance Window Constraints</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Parallel deployment approach eliminates hard cutover requirements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Undocumented Firewall Rules</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phase includes comprehensive policy audit and stakeholder interviews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Integration Complexity (SIEM)</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Early integration testing in lab environment validates compatibility</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Resource Availability</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Cross-train multiple administrators for redundancy during deployment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Terms And Conditions</w:t>
      </w:r>
    </w:p>
    <w:p>
      <w:pPr>
        <w:pStyle w:val="Heading3"/>
        <w:spacing w:before="160" w:after="120"/>
        <w:ind w:left="0"/>
      </w:pPr>
      <w:r>
        <w:t>11.3.2 9.2 Change Management</w:t>
      </w:r>
    </w:p>
    <w:p>
      <w:r>
        <w:rPr>
          <w:rFonts w:ascii="Calibri" w:hAnsi="Calibri"/>
          <w:sz w:val="24"/>
        </w:rPr>
        <w:t>Any changes to project scope, timeline, or budget must be documented through formal change requests and approved by both parties before implementation. Examples include:</w:t>
      </w:r>
    </w:p>
    <w:p>
      <w:pPr>
        <w:spacing w:after="80"/>
        <w:ind w:left="360"/>
      </w:pPr>
      <w:r>
        <w:rPr>
          <w:rFonts w:ascii="Calibri" w:hAnsi="Calibri"/>
          <w:sz w:val="24"/>
        </w:rPr>
        <w:t xml:space="preserve">• </w:t>
      </w:r>
      <w:r>
        <w:rPr>
          <w:rFonts w:ascii="Calibri" w:hAnsi="Calibri"/>
          <w:sz w:val="24"/>
        </w:rPr>
        <w:t>Additional sites beyond 10 branch locations specified in scope</w:t>
      </w:r>
    </w:p>
    <w:p>
      <w:pPr>
        <w:spacing w:after="80"/>
        <w:ind w:left="360"/>
      </w:pPr>
      <w:r>
        <w:rPr>
          <w:rFonts w:ascii="Calibri" w:hAnsi="Calibri"/>
          <w:sz w:val="24"/>
        </w:rPr>
        <w:t xml:space="preserve">• </w:t>
      </w:r>
      <w:r>
        <w:rPr>
          <w:rFonts w:ascii="Calibri" w:hAnsi="Calibri"/>
          <w:sz w:val="24"/>
        </w:rPr>
        <w:t>Custom security policy development or application signature creation</w:t>
      </w:r>
    </w:p>
    <w:p>
      <w:pPr>
        <w:spacing w:after="80"/>
        <w:ind w:left="360"/>
      </w:pPr>
      <w:r>
        <w:rPr>
          <w:rFonts w:ascii="Calibri" w:hAnsi="Calibri"/>
          <w:sz w:val="24"/>
        </w:rPr>
        <w:t xml:space="preserve">• </w:t>
      </w:r>
      <w:r>
        <w:rPr>
          <w:rFonts w:ascii="Calibri" w:hAnsi="Calibri"/>
          <w:sz w:val="24"/>
        </w:rPr>
        <w:t>Extended post-deployment support beyond 30-day warranty period</w:t>
      </w:r>
    </w:p>
    <w:p>
      <w:pPr>
        <w:spacing w:after="80"/>
        <w:ind w:left="360"/>
      </w:pPr>
      <w:r>
        <w:rPr>
          <w:rFonts w:ascii="Calibri" w:hAnsi="Calibri"/>
          <w:sz w:val="24"/>
        </w:rPr>
        <w:t xml:space="preserve">• </w:t>
      </w:r>
      <w:r>
        <w:rPr>
          <w:rFonts w:ascii="Calibri" w:hAnsi="Calibri"/>
          <w:sz w:val="24"/>
        </w:rPr>
        <w:t>Network architecture modifications requiring additional design work</w:t>
      </w:r>
    </w:p>
    <w:p>
      <w:pPr>
        <w:pStyle w:val="Heading2"/>
        <w:spacing w:before="240" w:after="120"/>
        <w:ind w:left="0"/>
      </w:pPr>
      <w:r>
        <w:t>11.4 Intellectual Property</w:t>
      </w:r>
    </w:p>
    <w:p>
      <w:pPr>
        <w:spacing w:after="80"/>
        <w:ind w:left="360"/>
      </w:pPr>
      <w:r>
        <w:rPr>
          <w:rFonts w:ascii="Calibri" w:hAnsi="Calibri"/>
          <w:sz w:val="24"/>
        </w:rPr>
        <w:t xml:space="preserve">• </w:t>
      </w:r>
      <w:r>
        <w:rPr>
          <w:rFonts w:ascii="Calibri" w:hAnsi="Calibri"/>
          <w:sz w:val="24"/>
        </w:rPr>
        <w:t>Client retains ownership of all security policies, configurations, and business data</w:t>
      </w:r>
    </w:p>
    <w:p>
      <w:pPr>
        <w:spacing w:after="80"/>
        <w:ind w:left="360"/>
      </w:pPr>
      <w:r>
        <w:rPr>
          <w:rFonts w:ascii="Calibri" w:hAnsi="Calibri"/>
          <w:sz w:val="24"/>
        </w:rPr>
        <w:t xml:space="preserve">• </w:t>
      </w:r>
      <w:r>
        <w:rPr>
          <w:rFonts w:ascii="Calibri" w:hAnsi="Calibri"/>
          <w:sz w:val="24"/>
        </w:rPr>
        <w:t>Vendor retains ownership of proprietary implementation methodologies and automation tools</w:t>
      </w:r>
    </w:p>
    <w:p>
      <w:pPr>
        <w:spacing w:after="80"/>
        <w:ind w:left="360"/>
      </w:pPr>
      <w:r>
        <w:rPr>
          <w:rFonts w:ascii="Calibri" w:hAnsi="Calibri"/>
          <w:sz w:val="24"/>
        </w:rPr>
        <w:t xml:space="preserve">• </w:t>
      </w:r>
      <w:r>
        <w:rPr>
          <w:rFonts w:ascii="Calibri" w:hAnsi="Calibri"/>
          <w:sz w:val="24"/>
        </w:rPr>
        <w:t>SRX configurations and customizations become client property upon final payment</w:t>
      </w:r>
    </w:p>
    <w:p>
      <w:pPr>
        <w:spacing w:after="80"/>
        <w:ind w:left="360"/>
      </w:pPr>
      <w:r>
        <w:rPr>
          <w:rFonts w:ascii="Calibri" w:hAnsi="Calibri"/>
          <w:sz w:val="24"/>
        </w:rPr>
        <w:t xml:space="preserve">• </w:t>
      </w:r>
      <w:r>
        <w:rPr>
          <w:rFonts w:ascii="Calibri" w:hAnsi="Calibri"/>
          <w:sz w:val="24"/>
        </w:rPr>
        <w:t>Training materials may be used by client for internal purposes only</w:t>
      </w:r>
    </w:p>
    <w:p>
      <w:pPr>
        <w:pStyle w:val="Heading3"/>
        <w:spacing w:before="160" w:after="120"/>
        <w:ind w:left="0"/>
      </w:pPr>
      <w:r>
        <w:t>11.4.1 10.2 Confidentiality</w:t>
      </w:r>
    </w:p>
    <w:p>
      <w:r>
        <w:rPr>
          <w:rFonts w:ascii="Calibri" w:hAnsi="Calibri"/>
          <w:sz w:val="24"/>
        </w:rPr>
        <w:t>Both parties agree to maintain strict confidentiality of security policies, network architecture, and business data throughout the project and beyond. All project team members will sign non-disclosure agreements.</w:t>
      </w:r>
    </w:p>
    <w:p>
      <w:pPr>
        <w:pStyle w:val="Heading3"/>
        <w:spacing w:before="160" w:after="120"/>
        <w:ind w:left="0"/>
      </w:pPr>
      <w:r>
        <w:t>11.4.2 10.3 Warranty &amp; Support</w:t>
      </w:r>
    </w:p>
    <w:p>
      <w:pPr>
        <w:spacing w:after="80"/>
        <w:ind w:left="360"/>
      </w:pPr>
      <w:r>
        <w:rPr>
          <w:rFonts w:ascii="Calibri" w:hAnsi="Calibri"/>
          <w:sz w:val="24"/>
        </w:rPr>
        <w:t xml:space="preserve">• </w:t>
      </w:r>
      <w:r>
        <w:rPr>
          <w:rFonts w:ascii="Calibri" w:hAnsi="Calibri"/>
          <w:sz w:val="24"/>
        </w:rPr>
        <w:t>30-day warranty on all deliverables from production handoff date</w:t>
      </w:r>
    </w:p>
    <w:p>
      <w:pPr>
        <w:spacing w:after="80"/>
        <w:ind w:left="360"/>
      </w:pPr>
      <w:r>
        <w:rPr>
          <w:rFonts w:ascii="Calibri" w:hAnsi="Calibri"/>
          <w:sz w:val="24"/>
        </w:rPr>
        <w:t xml:space="preserve">• </w:t>
      </w:r>
      <w:r>
        <w:rPr>
          <w:rFonts w:ascii="Calibri" w:hAnsi="Calibri"/>
          <w:sz w:val="24"/>
        </w:rPr>
        <w:t>Defect resolution included at no additional cost during warranty period (configuration errors, documentation gaps)</w:t>
      </w:r>
    </w:p>
    <w:p>
      <w:pPr>
        <w:spacing w:after="80"/>
        <w:ind w:left="360"/>
      </w:pPr>
      <w:r>
        <w:rPr>
          <w:rFonts w:ascii="Calibri" w:hAnsi="Calibri"/>
          <w:sz w:val="24"/>
        </w:rPr>
        <w:t xml:space="preserve">• </w:t>
      </w:r>
      <w:r>
        <w:rPr>
          <w:rFonts w:ascii="Calibri" w:hAnsi="Calibri"/>
          <w:sz w:val="24"/>
        </w:rPr>
        <w:t>Post-warranty support available under separate annual support agreement</w:t>
      </w:r>
    </w:p>
    <w:p>
      <w:pPr>
        <w:spacing w:after="80"/>
        <w:ind w:left="360"/>
      </w:pPr>
      <w:r>
        <w:rPr>
          <w:rFonts w:ascii="Calibri" w:hAnsi="Calibri"/>
          <w:sz w:val="24"/>
        </w:rPr>
        <w:t xml:space="preserve">• </w:t>
      </w:r>
      <w:r>
        <w:rPr>
          <w:rFonts w:ascii="Calibri" w:hAnsi="Calibri"/>
          <w:sz w:val="24"/>
        </w:rPr>
        <w:t>Hardware warranty per Juniper standard terms (typically 1 year with 24x7 JTAC support)</w:t>
      </w:r>
    </w:p>
    <w:p>
      <w:pPr>
        <w:pStyle w:val="Heading3"/>
        <w:spacing w:before="160" w:after="120"/>
        <w:ind w:left="0"/>
      </w:pPr>
      <w:r>
        <w:t>11.4.3 10.4 Limitation of Liability</w:t>
      </w:r>
    </w:p>
    <w:p>
      <w:r>
        <w:rPr>
          <w:rFonts w:ascii="Calibri" w:hAnsi="Calibri"/>
          <w:sz w:val="24"/>
        </w:rPr>
        <w:t>Vendor's liability is limited to the total contract value ($382,500). Neither party shall be liable for indirect, incidental, or consequential damages including business interruption or data loss.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9">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Juniper - SRX Firewall Platform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