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77777777" w:rsidR="00517E5A" w:rsidRDefault="00000000">
      <w:pPr>
        <w:pStyle w:val="Title"/>
        <w:jc w:val="center"/>
      </w:pPr>
      <w:r>
        <w:t>Statement of Work</w:t>
      </w:r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Dell Technologies - Dell VxRail HCI Platform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Name]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22,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Your Consulting Company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[Consultant 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OPP-2025-001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Statement of Work (SOW) defines the scope, deliverables, roles, and terms for implementing Dell VxRail HCI Platform for [Client Name]. This engagement will deliver on-premises AI/ML computing infrastructure through Dell Precision 7960 workstations with NVIDIA RTX A6000 GPUs and PowerScale shared storage to reduce cloud GPU costs by 60-70% and achieve data sovereignty.</w:t>
      </w:r>
    </w:p>
    <w:p>
      <w:r>
        <w:rPr>
          <w:rFonts w:ascii="Calibri" w:hAnsi="Calibri"/>
          <w:b/>
          <w:sz w:val="24"/>
        </w:rPr>
        <w:t>Project Duration:</w:t>
      </w:r>
      <w:r>
        <w:rPr>
          <w:rFonts w:ascii="Calibri" w:hAnsi="Calibri"/>
          <w:sz w:val="24"/>
        </w:rPr>
        <w:t xml:space="preserve"> 6 weeks</w:t>
      </w:r>
    </w:p>
    <w:p>
      <w:pPr>
        <w:pStyle w:val="Heading1"/>
        <w:spacing w:before="160" w:after="120"/>
        <w:ind w:left="0"/>
      </w:pPr>
      <w:r>
        <w:t>2 Background &amp; Objectives</w:t>
      </w:r>
    </w:p>
    <w:p>
      <w:pPr>
        <w:pStyle w:val="Heading2"/>
        <w:spacing w:before="240" w:after="120"/>
        <w:ind w:left="0"/>
      </w:pPr>
      <w:r>
        <w:t>2.1 Current State</w:t>
      </w:r>
    </w:p>
    <w:p>
      <w:r>
        <w:rPr>
          <w:rFonts w:ascii="Calibri" w:hAnsi="Calibri"/>
          <w:sz w:val="24"/>
        </w:rPr>
        <w:t>[Client Name] currently spends approximately $58,000/month on cloud GPU instances (AWS p4d.24xlarge) for AI/ML model training across 10 data scientists. Key challenges include: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High Cloud Costs:</w:t>
      </w:r>
      <w:r>
        <w:rPr>
          <w:rFonts w:ascii="Calibri" w:hAnsi="Calibri"/>
          <w:sz w:val="24"/>
        </w:rPr>
        <w:t xml:space="preserve"> $693K annual spend on cloud GPU compute creating budget pressure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 Transfer Bottlenecks:</w:t>
      </w:r>
      <w:r>
        <w:rPr>
          <w:rFonts w:ascii="Calibri" w:hAnsi="Calibri"/>
          <w:sz w:val="24"/>
        </w:rPr>
        <w:t xml:space="preserve"> Multi-terabyte datasets taking hours to transfer to/from cloud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 Sovereignty Concerns:</w:t>
      </w:r>
      <w:r>
        <w:rPr>
          <w:rFonts w:ascii="Calibri" w:hAnsi="Calibri"/>
          <w:sz w:val="24"/>
        </w:rPr>
        <w:t xml:space="preserve"> Sensitive training data required to remain on-premises for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Limited GPU Memory:</w:t>
      </w:r>
      <w:r>
        <w:rPr>
          <w:rFonts w:ascii="Calibri" w:hAnsi="Calibri"/>
          <w:sz w:val="24"/>
        </w:rPr>
        <w:t xml:space="preserve"> Cloud instance limits preventing training of larger models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Productivity Loss:</w:t>
      </w:r>
      <w:r>
        <w:rPr>
          <w:rFonts w:ascii="Calibri" w:hAnsi="Calibri"/>
          <w:sz w:val="24"/>
        </w:rPr>
        <w:t xml:space="preserve"> Dataset download waits and network latency reducing data scientist productivity</w:t>
      </w:r>
    </w:p>
    <w:p>
      <w:pPr>
        <w:pStyle w:val="Heading2"/>
        <w:spacing w:before="240" w:after="120"/>
        <w:ind w:left="0"/>
      </w:pPr>
      <w:r>
        <w:t>2.2 Business Objectives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Reduce Cloud Costs:</w:t>
      </w:r>
      <w:r>
        <w:rPr>
          <w:rFonts w:ascii="Calibri" w:hAnsi="Calibri"/>
          <w:sz w:val="24"/>
        </w:rPr>
        <w:t xml:space="preserve"> Eliminate cloud GPU spend through on-premises Dell Precision workstations with RTX A6000 GPUs achieving 60-70% cost reduction vs AWS p4d baseline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Improve Training Performance:</w:t>
      </w:r>
      <w:r>
        <w:rPr>
          <w:rFonts w:ascii="Calibri" w:hAnsi="Calibri"/>
          <w:sz w:val="24"/>
        </w:rPr>
        <w:t xml:space="preserve"> Reduce model training time by 50% through local NVMe storage eliminating dataset transfer latency and providing dedicated 48GB GPU memory per workstation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Enable Data Sovereignty:</w:t>
      </w:r>
      <w:r>
        <w:rPr>
          <w:rFonts w:ascii="Calibri" w:hAnsi="Calibri"/>
          <w:sz w:val="24"/>
        </w:rPr>
        <w:t xml:space="preserve"> Keep all AI training datasets on-premises to meet compliance requirements and eliminate cloud data residency concerns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Increase Productivity:</w:t>
      </w:r>
      <w:r>
        <w:rPr>
          <w:rFonts w:ascii="Calibri" w:hAnsi="Calibri"/>
          <w:sz w:val="24"/>
        </w:rPr>
        <w:t xml:space="preserve"> Provide dedicated high-performance workstations allowing data scientists to iterate faster and train larger models without cloud quota limitations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Support Team Growth:</w:t>
      </w:r>
      <w:r>
        <w:rPr>
          <w:rFonts w:ascii="Calibri" w:hAnsi="Calibri"/>
          <w:sz w:val="24"/>
        </w:rPr>
        <w:t xml:space="preserve"> Establish scalable on-premises infrastructure supporting current 10-person team with capacity for future expansion to 25+ data scientists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Foundation for AI Platform:</w:t>
      </w:r>
      <w:r>
        <w:rPr>
          <w:rFonts w:ascii="Calibri" w:hAnsi="Calibri"/>
          <w:sz w:val="24"/>
        </w:rPr>
        <w:t xml:space="preserve"> Build foundation for expanding AI infrastructure to support distributed training and MLOps capabilities</w:t>
      </w:r>
    </w:p>
    <w:p>
      <w:pPr>
        <w:pStyle w:val="Heading2"/>
        <w:spacing w:before="240" w:after="120"/>
        <w:ind w:left="0"/>
      </w:pPr>
      <w:r>
        <w:t>2.3 Success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60%+ reduction in AI infrastructure costs within 12 months (vs cloud baseline)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50% reduction in model training time (vs current cloud performance)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100% data sovereignty compliance (all datasets on-premises)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95%+ GPU utilization across workstation fleet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 data scientists fully equipped and trained within 6 weeks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ROI payback within 3-6 months</w:t>
      </w:r>
    </w:p>
    <w:p>
      <w:pPr>
        <w:pStyle w:val="Heading1"/>
        <w:spacing w:before="160" w:after="120"/>
        <w:ind w:left="0"/>
      </w:pPr>
      <w:r>
        <w:t>3 Scope of Work</w:t>
      </w:r>
    </w:p>
    <w:p>
      <w:pPr>
        <w:pStyle w:val="Heading2"/>
        <w:spacing w:before="240" w:after="120"/>
        <w:ind w:left="0"/>
      </w:pPr>
      <w:r>
        <w:t>3.1 In Scope</w:t>
      </w:r>
    </w:p>
    <w:p>
      <w:r>
        <w:rPr>
          <w:rFonts w:ascii="Calibri" w:hAnsi="Calibri"/>
          <w:sz w:val="24"/>
        </w:rPr>
        <w:t>The following services and deliverables are included in this SOW: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AI workload assessment and infrastructure sizing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Precision workstation and PowerScale NAS procurement coordination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center infrastructure validation (power, cooling, network)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installation and OS/GPU driver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ML framework stack setup (PyTorch, TensorFlow, CUDA)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Shared storage configuration and dataset migration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benchmarking and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User and administrator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Knowledge transfer and documentation</w:t>
      </w:r>
    </w:p>
    <w:p>
      <w:pPr>
        <w:pStyle w:val="Heading3"/>
        <w:spacing w:before="160" w:after="120"/>
        <w:ind w:left="0"/>
      </w:pPr>
      <w:r>
        <w:t>3.1.1 Scope Parameters</w:t>
      </w:r>
    </w:p>
    <w:p>
      <w:r>
        <w:rPr>
          <w:rFonts w:ascii="Calibri" w:hAnsi="Calibri"/>
          <w:sz w:val="24"/>
        </w:rPr>
        <w:t>This engagement is sized based on the following parameters: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Parameter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Solution Scope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Cluster Size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4-node VxRail E560 cluster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Solution Scope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 Capacity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40TB usable all-flash SSD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vSphere Version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vSphere 8 Enterprise Plus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Backup Integration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Veeam Backup &amp; Replication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Base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 Count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250 virtual machines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Base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Admin Team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3-5 virtualization administrators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Volume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 Type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All-flash SSD vSAN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Volume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 Size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Average 500GB per VM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Current Virtualization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VMware vSphere 7.0 on traditional SAN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Legacy Infrastructure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EMC Unity or NetApp SAN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Fabric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25GbE ToR switches for vSAN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&amp; Compliance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Sensitivity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Internal business data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&amp; Compliance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Encryption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vSAN encryption at rest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 Density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60 VMs per node average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vSAN Performance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Mixed workload 10K IOPS per VM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Migration Approach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Phased vMotion migration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Engagement Scope Parameters</w:t>
      </w:r>
    </w:p>
    <w:p>
      <w:r>
        <w:rPr>
          <w:rFonts w:ascii="Calibri" w:hAnsi="Calibri"/>
          <w:sz w:val="24"/>
        </w:rPr>
        <w:t>Table: Engagement Scope Parameters</w:t>
      </w:r>
    </w:p>
    <w:p>
      <w:r>
        <w:rPr>
          <w:rFonts w:ascii="Calibri" w:hAnsi="Calibri"/>
          <w:i/>
          <w:sz w:val="24"/>
        </w:rPr>
        <w:t>Note: Changes to these parameters may require scope adjustment and additional investment.</w:t>
      </w:r>
    </w:p>
    <w:p>
      <w:pPr>
        <w:pStyle w:val="Heading2"/>
        <w:spacing w:before="240" w:after="120"/>
        <w:ind w:left="0"/>
      </w:pPr>
      <w:r>
        <w:t>3.2 Out of Scope</w:t>
      </w:r>
    </w:p>
    <w:p>
      <w:r>
        <w:rPr>
          <w:rFonts w:ascii="Calibri" w:hAnsi="Calibri"/>
          <w:sz w:val="24"/>
        </w:rPr>
        <w:t>These items are not in scope unless added via change control: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Rack cabinets and PDU procurement (client responsibility)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Electrical infrastructure upgrades or circuit installation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switch procurement (only configuration included)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ML model development or algorithm optimization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center facilities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Managed services beyond 6-week engagement</w:t>
      </w:r>
    </w:p>
    <w:p>
      <w:pPr>
        <w:pStyle w:val="Heading2"/>
        <w:spacing w:before="240" w:after="120"/>
        <w:ind w:left="0"/>
      </w:pPr>
      <w:r>
        <w:t>3.3 Activities</w:t>
      </w:r>
    </w:p>
    <w:p>
      <w:pPr>
        <w:pStyle w:val="Heading3"/>
        <w:spacing w:before="160" w:after="120"/>
        <w:ind w:left="0"/>
      </w:pPr>
      <w:r>
        <w:t>3.3.1 Phase 1 – Planning &amp; Procurement (Weeks 1-2)</w:t>
      </w:r>
    </w:p>
    <w:p>
      <w:r>
        <w:rPr>
          <w:rFonts w:ascii="Calibri" w:hAnsi="Calibri"/>
          <w:sz w:val="24"/>
        </w:rPr>
        <w:t>During this initial phase, the team will finalize specifications and coordinate hardware procurement.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Review AI workload requirements and validate GPU sizing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Confirm power, cooling, and rack space availability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Submit Dell hardware purchase order (workstations, GPUs, storage)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Prepare data center space and network cabling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Plan dataset migration from cloud to PowerScale NAS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Develop implementation timeline and resource schedule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Implementation Plan &amp; Hardware Order Confirmation</w:t>
      </w:r>
    </w:p>
    <w:p>
      <w:pPr>
        <w:pStyle w:val="Heading3"/>
        <w:spacing w:before="160" w:after="120"/>
        <w:ind w:left="0"/>
      </w:pPr>
      <w:r>
        <w:t>3.3.2 Phase 2 – Deployment &amp; Configuration (Weeks 3-4)</w:t>
      </w:r>
    </w:p>
    <w:p>
      <w:r>
        <w:rPr>
          <w:rFonts w:ascii="Calibri" w:hAnsi="Calibri"/>
          <w:sz w:val="24"/>
        </w:rPr>
        <w:t>In this phase, hardware is installed and core infrastructure is configured.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ProDeploy rack installation and cabling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Ubuntu 22.04 LTS installation on all workstations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NVIDIA driver, CUDA 12.2, and cuDNN installation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NAS configuration with NFS shares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10GbE network configuration and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ML framework installation (PyTorch, TensorFlow, Jupyter)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Datadog monitoring agent deployment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Configured AI Infrastructure</w:t>
      </w:r>
    </w:p>
    <w:p>
      <w:pPr>
        <w:pStyle w:val="Heading3"/>
        <w:spacing w:before="160" w:after="120"/>
        <w:ind w:left="0"/>
      </w:pPr>
      <w:r>
        <w:t>3.3.3 Phase 3 – Validation &amp; Training (Weeks 5-6)</w:t>
      </w:r>
    </w:p>
    <w:p>
      <w:r>
        <w:rPr>
          <w:rFonts w:ascii="Calibri" w:hAnsi="Calibri"/>
          <w:sz w:val="24"/>
        </w:rPr>
        <w:t>The solution undergoes performance validation and team training.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benchmark testing (PyTorch/TensorFlow performance)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throughput validation (NVMe and PowerScale)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Sample model training end-to-end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Dataset migration from AWS S3 to PowerScale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2-day hands-on training: CUDA optimization and GPU profiling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Administrator training: Linux, GPU drivers, PowerScale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Production go-live with first real-world training workloads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Performance Validation Report &amp; Training Materials</w:t>
      </w:r>
    </w:p>
    <w:p>
      <w:pPr>
        <w:pStyle w:val="Heading1"/>
        <w:spacing w:before="160" w:after="120"/>
        <w:ind w:left="0"/>
      </w:pPr>
      <w:r>
        <w:t>4 Deliverables &amp; Timeline</w:t>
      </w:r>
    </w:p>
    <w:p>
      <w:pPr>
        <w:pStyle w:val="Heading2"/>
        <w:spacing w:before="240" w:after="120"/>
        <w:ind w:left="0"/>
      </w:pPr>
      <w:r>
        <w:t>4.1 Deliverables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#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Deliverable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Due Date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Acceptance By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Implementation Plan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IT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Configured AI Infrastructure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 Validation Report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Science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 Materials &amp; Runbooks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Team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As-Built Documentation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 Operations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Project Deliverables and Acceptance Criteria</w:t>
      </w:r>
    </w:p>
    <w:p>
      <w:pPr>
        <w:pStyle w:val="Heading2"/>
        <w:spacing w:before="240" w:after="120"/>
        <w:ind w:left="0"/>
      </w:pPr>
      <w:r>
        <w:t>4.2 Project Milestones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Milestone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 Date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M1 - Hardware Ordered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Dell purchase order submitted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2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M2 - Hardware Delivered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equipment on-site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3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M3 - Infrastructure Configured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Workstations and storage operational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M4 - Validation Complete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 benchmarks passed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5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M5 - Training Complete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 trained and productive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Project Milestones and Timeline</w:t>
      </w:r>
    </w:p>
    <w:p>
      <w:pPr>
        <w:pStyle w:val="Heading1"/>
        <w:spacing w:before="160" w:after="120"/>
        <w:ind w:left="0"/>
      </w:pPr>
      <w:r>
        <w:t>5 Roles &amp; Responsibilities</w:t>
      </w:r>
    </w:p>
    <w:p>
      <w:pPr>
        <w:pStyle w:val="Heading2"/>
        <w:spacing w:before="240" w:after="120"/>
        <w:ind w:left="0"/>
      </w:pPr>
      <w:r>
        <w:t>5.1 Client Responsibilities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Provide data center space with adequate power and cooling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Install rack cabinets and PDUs (if rack-mount configuration)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Provide 10GbE network infrastructure and VLAN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Assign technical lead and team for implementation support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Provide representative training datasets for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Approve hardware specifications and purchase order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Participate in knowledge transfer and training sessions</w:t>
      </w:r>
    </w:p>
    <w:p>
      <w:pPr>
        <w:pStyle w:val="Heading2"/>
        <w:spacing w:before="240" w:after="120"/>
        <w:ind w:left="0"/>
      </w:pPr>
      <w:r>
        <w:t>5.2 Vendor Responsibilities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Coordinate Dell hardware procurement and delivery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Install and configure Ubuntu, CUDA, and ML frameworks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Configure PowerScale NAS with NFS shares and permissions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Benchmark GPU and storage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Migrate sample datasets from cloud to PowerScale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Conduct training workshops for users and administrators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Deliver documentation and operational runbooks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Provide 6-week implementation support</w:t>
      </w:r>
    </w:p>
    <w:p>
      <w:pPr>
        <w:pStyle w:val="Heading1"/>
        <w:spacing w:before="160" w:after="120"/>
        <w:ind w:left="0"/>
      </w:pPr>
      <w:r>
        <w:t>6 Architecture &amp; Design</w:t>
      </w:r>
    </w:p>
    <w:p>
      <w:pPr>
        <w:pStyle w:val="Heading2"/>
        <w:spacing w:before="240" w:after="120"/>
        <w:ind w:left="0"/>
      </w:pPr>
      <w:r>
        <w:t>6.1 Solution Architecture</w:t>
      </w:r>
    </w:p>
    <w:p>
      <w:r>
        <w:rPr>
          <w:rFonts w:ascii="Calibri" w:hAnsi="Calibri"/>
          <w:sz w:val="24"/>
        </w:rPr>
        <w:t>The Dell Precision AI Workstation infrastructure consists of three layers:</w:t>
      </w:r>
    </w:p>
    <w:p>
      <w:r>
        <w:rPr>
          <w:rFonts w:ascii="Calibri" w:hAnsi="Calibri"/>
          <w:b/>
          <w:sz w:val="24"/>
        </w:rPr>
        <w:t>Workstation Compute Layer: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10x Dell Precision 7960 Tower workstations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Dual Intel Xeon Gold 6430 processors (64 cores total)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512GB DDR5 RAM for large-scale preprocessing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4TB NVMe SSD achieving 7000MB/s read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NVIDIA RTX A6000 48GB GPU with 10752 CUDA cores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Ubuntu 22.04 LTS with CUDA 12.2 and cuDNN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PyTorch, TensorFlow, Jupyter Lab, VS Code</w:t>
      </w:r>
    </w:p>
    <w:p>
      <w:r>
        <w:rPr>
          <w:rFonts w:ascii="Calibri" w:hAnsi="Calibri"/>
          <w:b/>
          <w:sz w:val="24"/>
        </w:rPr>
        <w:t>Shared Storage Layer: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PowerScale F600 NAS appliance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100TB usable capacity for team dataset repository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NFS/SMB file sharing with user quotas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10GbE network connectivity for high-speed access</w:t>
      </w:r>
    </w:p>
    <w:p>
      <w:r>
        <w:rPr>
          <w:rFonts w:ascii="Calibri" w:hAnsi="Calibri"/>
          <w:b/>
          <w:sz w:val="24"/>
        </w:rPr>
        <w:t>Monitoring &amp; Management: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Datadog infrastructure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utilization and temperature tracking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capacity and performance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Centralized logging for troubleshooting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4685" cy="36575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685" cy="3657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Architecture Diagram</w:t>
      </w:r>
    </w:p>
    <w:p>
      <w:pPr>
        <w:pStyle w:val="Heading2"/>
        <w:spacing w:before="240" w:after="120"/>
        <w:ind w:left="0"/>
      </w:pPr>
      <w:r>
        <w:t>6.2 Network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10GbE network fabric connecting workstations to PowerScale NAS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Dedicated storage VLAN for dataset traffic isolation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1GbE management network for out-of-band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Firewall rules for SSH access and monitoring agents</w:t>
      </w:r>
    </w:p>
    <w:p>
      <w:pPr>
        <w:pStyle w:val="Heading2"/>
        <w:spacing w:before="240" w:after="120"/>
        <w:ind w:left="0"/>
      </w:pPr>
      <w:r>
        <w:t>6.3 Data Flow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Data scientists access workstations via SSH or remote desktop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Training datasets stored centrally on PowerScale NAS (NFS mounts)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Dataset loaded from PowerScale to local NVMe for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GPU executes training workload with CUDA acceleration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sz w:val="24"/>
        </w:rPr>
        <w:t>Model checkpoints saved to PowerScale for team sharing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6. </w:t>
      </w:r>
      <w:r>
        <w:rPr>
          <w:rFonts w:ascii="Calibri" w:hAnsi="Calibri"/>
          <w:sz w:val="24"/>
        </w:rPr>
        <w:t>Datadog collects GPU metrics and performance telemetry</w:t>
      </w:r>
    </w:p>
    <w:p>
      <w:pPr>
        <w:pStyle w:val="Heading1"/>
        <w:spacing w:before="160" w:after="120"/>
        <w:ind w:left="0"/>
      </w:pPr>
      <w:r>
        <w:t>7 Security &amp; Compliance</w:t>
      </w:r>
    </w:p>
    <w:p>
      <w:pPr>
        <w:pStyle w:val="Heading2"/>
        <w:spacing w:before="240" w:after="120"/>
        <w:ind w:left="0"/>
      </w:pPr>
      <w:r>
        <w:t>7.1 Access Control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SSH key-based authentication for workstation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LDAP/Active Directory integration for centralized user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Sudo access restricted to administrators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File-level permissions on PowerScale NAS shares</w:t>
      </w:r>
    </w:p>
    <w:p>
      <w:pPr>
        <w:pStyle w:val="Heading2"/>
        <w:spacing w:before="240" w:after="120"/>
        <w:ind w:left="0"/>
      </w:pPr>
      <w:r>
        <w:t>7.2 Data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Encryption at rest: LUKS encryption on workstation NVMe drives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Encryption in transit: TLS for all network communication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snapshots for data recovery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sensitive data transmitted to cloud services</w:t>
      </w:r>
    </w:p>
    <w:p>
      <w:pPr>
        <w:pStyle w:val="Heading2"/>
        <w:spacing w:before="240" w:after="120"/>
        <w:ind w:left="0"/>
      </w:pPr>
      <w:r>
        <w:t>7.3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sovereignty: All training data remains on-premises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logging: SSH access logs and file access audit trail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Patch management: Monthly security updates for Ubuntu and NVIDIA drivers</w:t>
      </w:r>
    </w:p>
    <w:p>
      <w:pPr>
        <w:pStyle w:val="Heading1"/>
        <w:spacing w:before="160" w:after="120"/>
        <w:ind w:left="0"/>
      </w:pPr>
      <w:r>
        <w:t>8 Testing &amp; Validation</w:t>
      </w:r>
    </w:p>
    <w:p>
      <w:pPr>
        <w:pStyle w:val="Heading2"/>
        <w:spacing w:before="240" w:after="120"/>
        <w:ind w:left="0"/>
      </w:pPr>
      <w:r>
        <w:t>8.1 Performance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GPU Benchmark:</w:t>
      </w:r>
      <w:r>
        <w:rPr>
          <w:rFonts w:ascii="Calibri" w:hAnsi="Calibri"/>
          <w:sz w:val="24"/>
        </w:rPr>
        <w:t xml:space="preserve"> PyTorch and TensorFlow training performance vs specifications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Storage Throughput:</w:t>
      </w:r>
      <w:r>
        <w:rPr>
          <w:rFonts w:ascii="Calibri" w:hAnsi="Calibri"/>
          <w:sz w:val="24"/>
        </w:rPr>
        <w:t xml:space="preserve"> NVMe local storage and PowerScale NAS read/write speeds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Network Bandwidth:</w:t>
      </w:r>
      <w:r>
        <w:rPr>
          <w:rFonts w:ascii="Calibri" w:hAnsi="Calibri"/>
          <w:sz w:val="24"/>
        </w:rPr>
        <w:t xml:space="preserve"> 10GbE connectivity validation between workstations and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End-to-End Training:</w:t>
      </w:r>
      <w:r>
        <w:rPr>
          <w:rFonts w:ascii="Calibri" w:hAnsi="Calibri"/>
          <w:sz w:val="24"/>
        </w:rPr>
        <w:t xml:space="preserve"> Sample model training with representative datasets</w:t>
      </w:r>
    </w:p>
    <w:p>
      <w:pPr>
        <w:pStyle w:val="Heading2"/>
        <w:spacing w:before="240" w:after="120"/>
        <w:ind w:left="0"/>
      </w:pPr>
      <w:r>
        <w:t>8.2 Acceptance Criteria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utilization achieves 80%+ during training workloads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Local NVMe storage achieves 7000MB/s+ read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NAS achieves 1GB/s+ aggregate throughput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10 workstations operational with CUDA and ML frameworks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Sample model training completes successfully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Users trained and able to execute training workloads independently</w:t>
      </w:r>
    </w:p>
    <w:p>
      <w:pPr>
        <w:pStyle w:val="Heading1"/>
        <w:spacing w:before="160" w:after="120"/>
        <w:ind w:left="0"/>
      </w:pPr>
      <w:r>
        <w:t>9 Handover &amp; Support</w:t>
      </w:r>
    </w:p>
    <w:p>
      <w:pPr>
        <w:pStyle w:val="Heading2"/>
        <w:spacing w:before="240" w:after="120"/>
        <w:ind w:left="0"/>
      </w:pPr>
      <w:r>
        <w:t>9.1 Knowledge Transfer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2-day hands-on training workshop for data scientists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CUDA optimization techniques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Distributed training best practices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profiling and performance tuning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1-day administrator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Ubuntu and GPU driver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NAS administration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Datadog monitoring and alerting</w:t>
      </w:r>
    </w:p>
    <w:p>
      <w:pPr>
        <w:pStyle w:val="Heading2"/>
        <w:spacing w:before="240" w:after="120"/>
        <w:ind w:left="0"/>
      </w:pPr>
      <w:r>
        <w:t>9.2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Solution architecture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Installation and configuration runbooks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optimization best practices guide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Troubleshooting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backup and recovery procedures</w:t>
      </w:r>
    </w:p>
    <w:p>
      <w:pPr>
        <w:pStyle w:val="Heading2"/>
        <w:spacing w:before="240" w:after="120"/>
        <w:ind w:left="0"/>
      </w:pPr>
      <w:r>
        <w:t>9.3 Support Period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6-week hypercare support during initial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Email and phone support during business hours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Remote troubleshooting for technical issues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Escalation to Dell ProSupport for hardware failures</w:t>
      </w:r>
    </w:p>
    <w:p>
      <w:pPr>
        <w:pStyle w:val="Heading2"/>
        <w:spacing w:before="240" w:after="120"/>
        <w:ind w:left="0"/>
      </w:pPr>
      <w:r>
        <w:t>9.4 Post-Implementation</w:t>
      </w:r>
    </w:p>
    <w:p>
      <w:r>
        <w:rPr>
          <w:rFonts w:ascii="Calibri" w:hAnsi="Calibri"/>
          <w:sz w:val="24"/>
        </w:rPr>
        <w:t>After the 6-week engagement: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IT team assumes operational responsibility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ProSupport Plus provides 24x7 hardware support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Vendor available for additional consulting as needed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Recommended quarterly performance reviews</w:t>
      </w:r>
    </w:p>
    <w:p>
      <w:pPr>
        <w:pStyle w:val="Heading1"/>
        <w:spacing w:before="160" w:after="120"/>
        <w:ind w:left="0"/>
      </w:pPr>
      <w:r>
        <w:t>10 Investment Summary</w:t>
      </w:r>
    </w:p>
    <w:p>
      <w:pPr>
        <w:pStyle w:val="Heading2"/>
        <w:spacing w:before="240" w:after="120"/>
        <w:ind w:left="0"/>
      </w:pPr>
      <w:r>
        <w:t>10.1 Total Investment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Cost Category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List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AWS/Partner Credits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Net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2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3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3-Year Total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Professional Services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$42,000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$42,000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$42,000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Hardware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$219,640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$219,640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$219,640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Networking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$38,240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$38,240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$38,240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Software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$109,000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$109,000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$27,000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$27,000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$163,000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 &amp; Maintenance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$29,400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$29,400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$29,400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$29,400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$88,200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TOTAL INVESTMENT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$876,560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($378,000)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$498,560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($265,200)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($265,200)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($31,840)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Total Investment Summary</w:t>
      </w:r>
    </w:p>
    <w:p>
      <w:r>
        <w:rPr>
          <w:rFonts w:ascii="Calibri" w:hAnsi="Calibri"/>
          <w:sz w:val="24"/>
        </w:rPr>
        <w:t>Table: Total Investment Summary</w:t>
      </w:r>
    </w:p>
    <w:p>
      <w:pPr>
        <w:pStyle w:val="Heading2"/>
        <w:spacing w:before="240" w:after="120"/>
        <w:ind w:left="0"/>
      </w:pPr>
      <w:r>
        <w:t>10.2 Professional Services Breakdown</w:t>
      </w:r>
    </w:p>
    <w:p>
      <w:r>
        <w:rPr>
          <w:rFonts w:ascii="Calibri" w:hAnsi="Calibri"/>
          <w:sz w:val="24"/>
        </w:rPr>
        <w:t>Professional services cost: $34,000 (after $4,000 Dell ProDeploy credit)</w:t>
      </w:r>
    </w:p>
    <w:p>
      <w:r>
        <w:rPr>
          <w:rFonts w:ascii="Calibri" w:hAnsi="Calibri"/>
          <w:i/>
          <w:sz w:val="24"/>
        </w:rPr>
        <w:t>Detailed breakdown available in Level of Effort estimate.</w:t>
      </w:r>
    </w:p>
    <w:p>
      <w:pPr>
        <w:pStyle w:val="Heading2"/>
        <w:spacing w:before="240" w:after="120"/>
        <w:ind w:left="0"/>
      </w:pPr>
      <w:r>
        <w:t>10.3 Payment Terms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25% upon SOW signature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50% upon hardware delivery (Week 3)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25% upon final acceptance (Week 6)</w:t>
      </w:r>
    </w:p>
    <w:p>
      <w:pPr>
        <w:pStyle w:val="Heading1"/>
        <w:spacing w:before="160" w:after="120"/>
        <w:ind w:left="0"/>
      </w:pPr>
      <w:r>
        <w:t>11 Terms &amp; Conditions</w:t>
      </w:r>
    </w:p>
    <w:p>
      <w:pPr>
        <w:pStyle w:val="Heading2"/>
        <w:spacing w:before="240" w:after="120"/>
        <w:ind w:left="0"/>
      </w:pPr>
      <w:r>
        <w:t>11.1 Change Management</w:t>
      </w:r>
    </w:p>
    <w:p>
      <w:r>
        <w:rPr>
          <w:rFonts w:ascii="Calibri" w:hAnsi="Calibri"/>
          <w:sz w:val="24"/>
        </w:rPr>
        <w:t>Changes to scope, timeline, or deliverables require written change order approved by both parties. Changes may impact timeline and investment.</w:t>
      </w:r>
    </w:p>
    <w:p>
      <w:pPr>
        <w:pStyle w:val="Heading2"/>
        <w:spacing w:before="240" w:after="120"/>
        <w:ind w:left="0"/>
      </w:pPr>
      <w:r>
        <w:t>11.2 Assumptions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provides data center space with adequate power and cooling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network infrastructure supports 10GbE connectivity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hardware delivered within 2-3 weeks of purchase order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team available for implementation coordination and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Representative training datasets provided for validation</w:t>
      </w:r>
    </w:p>
    <w:p>
      <w:pPr>
        <w:pStyle w:val="Heading2"/>
        <w:spacing w:before="240" w:after="120"/>
        <w:ind w:left="0"/>
      </w:pPr>
      <w:r>
        <w:t>11.3 Client Obligations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Timely decision-making and approvals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Access to facilities and systems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Availability of technical resources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purchase order approval within 1 week</w:t>
      </w:r>
    </w:p>
    <w:p>
      <w:pPr>
        <w:pStyle w:val="Heading2"/>
        <w:spacing w:before="240" w:after="120"/>
        <w:ind w:left="0"/>
      </w:pPr>
      <w:r>
        <w:t>11.4 Risk Factors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delivery delays may impact timeline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 or cooling constraints may require facility upgrades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infrastructure limitations may reduce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Dataset migration may take longer for multi-terabyte volumes</w:t>
      </w:r>
    </w:p>
    <w:p>
      <w:pPr>
        <w:pStyle w:val="Heading2"/>
        <w:spacing w:before="240" w:after="120"/>
        <w:ind w:left="0"/>
      </w:pPr>
      <w:r>
        <w:t>11.5 Warranty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ProSupport Plus provides hardware warranty and support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Professional services guaranteed for 30 days post-acceptance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Software configuration supported during 6-week hypercare period</w:t>
      </w:r>
    </w:p>
    <w:p>
      <w:pPr>
        <w:pStyle w:val="Heading1"/>
        <w:spacing w:before="240" w:after="120"/>
        <w:ind w:left="0"/>
      </w:pPr>
      <w:r>
        <w:t>12 Sign-Off</w:t>
      </w:r>
    </w:p>
    <w:p>
      <w:pPr>
        <w:spacing w:after="240"/>
      </w:pPr>
      <w:r>
        <w:t>By signing below, both parties agree to the scope, approach, and terms outlined in this Statement of Work.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76"/>
        </w:trPr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CLIENT</w:t>
            </w:r>
          </w:p>
        </w:tc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CONSULTING COMPANY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</w:tr>
    </w:tbl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20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B7C4B" w14:textId="77777777" w:rsidR="005A14E3" w:rsidRDefault="005A14E3">
      <w:pPr>
        <w:spacing w:after="0" w:line="240" w:lineRule="auto"/>
      </w:pPr>
      <w:r>
        <w:separator/>
      </w:r>
    </w:p>
  </w:endnote>
  <w:endnote w:type="continuationSeparator" w:id="0">
    <w:p w14:paraId="65C2C1FC" w14:textId="77777777" w:rsidR="005A14E3" w:rsidRDefault="005A1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07D64" w14:textId="77777777" w:rsidR="00A2441E" w:rsidRDefault="00A244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0356" w14:textId="77777777" w:rsidR="00A2441E" w:rsidRDefault="00A244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E5A18" w14:textId="77777777" w:rsidR="005A14E3" w:rsidRDefault="005A14E3">
      <w:pPr>
        <w:spacing w:after="0" w:line="240" w:lineRule="auto"/>
      </w:pPr>
      <w:r>
        <w:separator/>
      </w:r>
    </w:p>
  </w:footnote>
  <w:footnote w:type="continuationSeparator" w:id="0">
    <w:p w14:paraId="39E48997" w14:textId="77777777" w:rsidR="005A14E3" w:rsidRDefault="005A1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A612" w14:textId="77777777" w:rsidR="00A2441E" w:rsidRDefault="00A244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77777777" w:rsidR="00517E5A" w:rsidRDefault="00000000">
    <w:pPr>
      <w:pStyle w:val="Header"/>
    </w:pPr>
    <w:r>
      <w:rPr>
        <w:color w:val="808080"/>
        <w:sz w:val="24"/>
      </w:rPr>
      <w:t>Statement of Work</w:t>
    </w:r>
    <w:r>
      <w:tab/>
    </w:r>
    <w:r>
      <w:tab/>
    </w:r>
    <w:r>
      <w:rPr>
        <w:color w:val="808080"/>
        <w:sz w:val="24"/>
      </w:rPr>
      <w:t>Dell Technologies - Dell VxRail HCI Platform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EDFE8" w14:textId="77777777" w:rsidR="00A2441E" w:rsidRDefault="00A24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DC1"/>
    <w:rsid w:val="0029639D"/>
    <w:rsid w:val="002D5501"/>
    <w:rsid w:val="00326F90"/>
    <w:rsid w:val="00517E5A"/>
    <w:rsid w:val="00541DC9"/>
    <w:rsid w:val="005A01BD"/>
    <w:rsid w:val="005A14E3"/>
    <w:rsid w:val="006C1B3B"/>
    <w:rsid w:val="00717007"/>
    <w:rsid w:val="007647BA"/>
    <w:rsid w:val="008E6583"/>
    <w:rsid w:val="0098338B"/>
    <w:rsid w:val="00A2441E"/>
    <w:rsid w:val="00AA1D8D"/>
    <w:rsid w:val="00B47730"/>
    <w:rsid w:val="00CB0664"/>
    <w:rsid w:val="00DF3F7F"/>
    <w:rsid w:val="00E45A90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19" Type="http://schemas.openxmlformats.org/officeDocument/2006/relationships/image" Target="media/image4.png"/><Relationship Id="rId20" Type="http://schemas.openxmlformats.org/officeDocument/2006/relationships/hyperlink" Target="https://eoframework.org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291</Words>
  <Characters>1721</Characters>
  <Application>Microsoft Office Word</Application>
  <DocSecurity>0</DocSecurity>
  <Lines>143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7</cp:revision>
  <dcterms:created xsi:type="dcterms:W3CDTF">2013-12-23T23:15:00Z</dcterms:created>
  <dcterms:modified xsi:type="dcterms:W3CDTF">2025-11-21T18:52:00Z</dcterms:modified>
  <cp:category/>
</cp:coreProperties>
</file>