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Hyperconverged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Hyperconverged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Size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8-node VxRail P570 all-NVMe cluster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Capacity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200TB usable all-NVMe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Stack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8 Enterprise Plus with NSX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Solution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VMware SRM with RecoverPoint for VMs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Count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800 VMs including mission-critical databases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Workloads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Oracle RAC SQL Always-On SAP HANA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Type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All-NVMe 30.72TB per node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IOPS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100000+ IOPS cluster aggregate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EMC VMAX or NetApp enterprise SAN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Fabric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100GbE spine-leaf network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vSAN Features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FTT=2 RAID-6 erasure coding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Mission-critical with SOC 2 ISO 27001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vSAN and VM encryption with KMS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Latency SLA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&lt;1ms storage latency for databases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 uptime with N+2 fault tolerance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 &lt;5 min RTO &lt;15 min with SRM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22848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848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$2,081,540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($471,000)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$1,610,540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($176,700)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($176,700)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$1,257,140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$421,820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$421,820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$183,900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$183,900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$789,620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$331,200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$4,163,080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($942,000)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$3,221,080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($353,400)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($353,400)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$2,514,280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Hyperconverged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