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49C0" w14:textId="77777777" w:rsidR="00005CD9" w:rsidRDefault="00005CD9"/>
    <w:p w14:paraId="34A52DF5" w14:textId="77777777" w:rsidR="00005CD9" w:rsidRDefault="00000000">
      <w:pPr>
        <w:jc w:val="center"/>
      </w:pPr>
      <w:r>
        <w:rPr>
          <w:noProof/>
        </w:rPr>
        <w:drawing>
          <wp:inline distT="0" distB="0" distL="0" distR="0" wp14:anchorId="094BDBDA" wp14:editId="3E3DEE92">
            <wp:extent cx="3813048" cy="10894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813048" cy="1089442"/>
                    </a:xfrm>
                    <a:prstGeom prst="rect">
                      <a:avLst/>
                    </a:prstGeom>
                  </pic:spPr>
                </pic:pic>
              </a:graphicData>
            </a:graphic>
          </wp:inline>
        </w:drawing>
      </w:r>
    </w:p>
    <w:p w14:paraId="3FE0D65D" w14:textId="77777777" w:rsidR="00005CD9" w:rsidRDefault="00005CD9"/>
    <w:p w14:paraId="2F8C76C4" w14:textId="77777777" w:rsidR="00005CD9" w:rsidRDefault="00000000">
      <w:pPr>
        <w:pStyle w:val="Title"/>
        <w:jc w:val="center"/>
      </w:pPr>
      <w:r>
        <w:t>Statement Of Work</w:t>
      </w:r>
    </w:p>
    <w:p w14:paraId="4FC91819" w14:textId="2D54DC3D" w:rsidR="00005CD9" w:rsidRPr="00561035" w:rsidRDefault="00000000" w:rsidP="00EE0B07">
      <w:pPr>
        <w:jc w:val="center"/>
        <w:rPr>
          <w:b/>
          <w:bCs/>
          <w:sz w:val="40"/>
          <w:szCs w:val="40"/>
        </w:rPr>
      </w:pPr>
      <w:r w:rsidRPr="00561035">
        <w:rPr>
          <w:b/>
          <w:bCs/>
          <w:sz w:val="40"/>
          <w:szCs w:val="40"/>
        </w:rPr>
        <w:t xml:space="preserve">AWS Cloud Migration - On-Premise to Cloud </w:t>
      </w:r>
    </w:p>
    <w:p w14:paraId="70AE641A" w14:textId="77777777" w:rsidR="00005CD9" w:rsidRDefault="00005CD9"/>
    <w:tbl>
      <w:tblPr>
        <w:tblW w:w="0" w:type="auto"/>
        <w:tblLook w:val="04A0" w:firstRow="1" w:lastRow="0" w:firstColumn="1" w:lastColumn="0" w:noHBand="0" w:noVBand="1"/>
      </w:tblPr>
      <w:tblGrid>
        <w:gridCol w:w="2948"/>
        <w:gridCol w:w="5852"/>
      </w:tblGrid>
      <w:tr w:rsidR="00005CD9" w14:paraId="47A723EF"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D431E4C" w14:textId="77777777" w:rsidR="00005CD9" w:rsidRDefault="00000000">
            <w:pPr>
              <w:spacing w:before="120" w:after="120" w:line="240" w:lineRule="auto"/>
            </w:pPr>
            <w:r>
              <w:rPr>
                <w:b/>
              </w:rPr>
              <w:t>Client Name: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[Client Name]</w:t>
            </w:r>
          </w:p>
        </w:tc>
      </w:tr>
      <w:tr w:rsidR="00005CD9" w14:paraId="0E82D5DA"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21A657B" w14:textId="77777777" w:rsidR="00005CD9" w:rsidRDefault="00000000">
            <w:pPr>
              <w:spacing w:before="120" w:after="120" w:line="240" w:lineRule="auto"/>
            </w:pPr>
            <w:r>
              <w:rPr>
                <w:b/>
              </w:rPr>
              <w:t>Date:</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[Month DD, YYYY]</w:t>
            </w:r>
          </w:p>
        </w:tc>
      </w:tr>
      <w:tr w:rsidR="00005CD9" w14:paraId="48FF45B6"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C52CE35" w14:textId="77777777" w:rsidR="00005CD9" w:rsidRDefault="00000000">
            <w:pPr>
              <w:spacing w:before="120" w:after="120" w:line="240" w:lineRule="auto"/>
            </w:pPr>
            <w:r>
              <w:rPr>
                <w:b/>
              </w:rPr>
              <w:t>Consulting Company: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EO Framework Consulting</w:t>
            </w:r>
          </w:p>
        </w:tc>
      </w:tr>
      <w:tr w:rsidR="00005CD9" w14:paraId="1B206B17"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0422214D" w14:textId="77777777" w:rsidR="00005CD9" w:rsidRDefault="00000000">
            <w:pPr>
              <w:spacing w:before="120" w:after="120" w:line="240" w:lineRule="auto"/>
            </w:pPr>
            <w:r>
              <w:rPr>
                <w:b/>
              </w:rPr>
              <w:t>Submitted By:</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[Vendor Contact Name]</w:t>
              <w:br/>
              <w:t>info@eoframework.com</w:t>
            </w:r>
          </w:p>
        </w:tc>
      </w:tr>
      <w:tr w:rsidR="00005CD9" w14:paraId="2D009460"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B91E02" w14:textId="526AE59D" w:rsidR="00005CD9" w:rsidRDefault="00F44D90">
            <w:pPr>
              <w:spacing w:before="120" w:after="120" w:line="240" w:lineRule="auto"/>
            </w:pPr>
            <w:r>
              <w:rPr>
                <w:b/>
              </w:rPr>
              <w:t>Opportunity No:</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OPP-MIGRATION-2025-0001</w:t>
            </w:r>
          </w:p>
        </w:tc>
      </w:tr>
      <w:tr w:rsidR="00315C5D" w14:paraId="35245DA4" w14:textId="77777777" w:rsidTr="00315C5D">
        <w:tc>
          <w:tcPr>
            <w:tcW w:w="2948"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0DDD75E" w14:textId="3DE8E7E6" w:rsidR="00315C5D" w:rsidRDefault="00315C5D">
            <w:pPr>
              <w:spacing w:before="120" w:after="120" w:line="240" w:lineRule="auto"/>
              <w:rPr>
                <w:b/>
              </w:rPr>
            </w:pPr>
            <w:r>
              <w:rPr>
                <w:b/>
              </w:rPr>
              <w:t>Version</w:t>
            </w:r>
          </w:p>
        </w:tc>
        <w:tc>
          <w:tcPr>
            <w:tcW w:w="58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0A48FFE5" w14:textId="77777777" w:rsidR="00005CD9" w:rsidRDefault="00000000">
      <w:pPr>
        <w:jc w:val="center"/>
      </w:pPr>
      <w:r>
        <w:t xml:space="preserve"> </w:t>
      </w:r>
    </w:p>
    <w:p w14:paraId="2D8D9F94" w14:textId="77777777" w:rsidR="00005CD9" w:rsidRDefault="00000000">
      <w:r>
        <w:br w:type="page"/>
      </w:r>
    </w:p>
    <w:p w14:paraId="2D2FAAC3" w14:textId="77777777" w:rsidR="00005CD9" w:rsidRDefault="00005CD9"/>
    <w:p w14:paraId="18B6C4F2" w14:textId="77777777" w:rsidR="00005CD9" w:rsidRDefault="00000000" w:rsidP="00366A13">
      <w:pPr>
        <w:pStyle w:val="Heading1"/>
        <w:spacing w:after="60"/>
      </w:pPr>
      <w:bookmarkStart w:id="0" w:name="_Toc213766917"/>
      <w:r>
        <w:t>Table of Contents</w:t>
      </w:r>
      <w:bookmarkEnd w:id="0"/>
    </w:p>
    <w:p w14:paraId="36AE440B" w14:textId="77777777" w:rsidR="00005CD9" w:rsidRDefault="00005CD9"/>
    <w:p w14:paraId="0CFEFC26" w14:textId="7804A85B" w:rsidR="00F22E83" w:rsidRDefault="00000000">
      <w:pPr>
        <w:pStyle w:val="TOC1"/>
        <w:tabs>
          <w:tab w:val="right" w:leader="dot" w:pos="8630"/>
        </w:tabs>
        <w:rPr>
          <w:rFonts w:asciiTheme="minorHAnsi" w:hAnsiTheme="minorHAnsi"/>
          <w:noProof/>
          <w:kern w:val="2"/>
          <w14:ligatures w14:val="standardContextual"/>
        </w:rPr>
      </w:pPr>
      <w:r>
        <w:fldChar w:fldCharType="begin"/>
      </w:r>
      <w:r>
        <w:instrText>TOC \o "1-3" \h \z \u</w:instrText>
      </w:r>
      <w:r>
        <w:fldChar w:fldCharType="separate"/>
      </w:r>
      <w:hyperlink w:anchor="_Toc213766917" w:history="1">
        <w:r w:rsidR="00F22E83" w:rsidRPr="008C3079">
          <w:rPr>
            <w:rStyle w:val="Hyperlink"/>
            <w:noProof/>
          </w:rPr>
          <w:t>Table of Contents</w:t>
        </w:r>
        <w:r w:rsidR="00F22E83">
          <w:rPr>
            <w:noProof/>
            <w:webHidden/>
          </w:rPr>
          <w:tab/>
        </w:r>
        <w:r w:rsidR="00F22E83">
          <w:rPr>
            <w:noProof/>
            <w:webHidden/>
          </w:rPr>
          <w:fldChar w:fldCharType="begin"/>
        </w:r>
        <w:r w:rsidR="00F22E83">
          <w:rPr>
            <w:noProof/>
            <w:webHidden/>
          </w:rPr>
          <w:instrText xml:space="preserve"> PAGEREF _Toc213766917 \h </w:instrText>
        </w:r>
        <w:r w:rsidR="00F22E83">
          <w:rPr>
            <w:noProof/>
            <w:webHidden/>
          </w:rPr>
        </w:r>
        <w:r w:rsidR="00F22E83">
          <w:rPr>
            <w:noProof/>
            <w:webHidden/>
          </w:rPr>
          <w:fldChar w:fldCharType="separate"/>
        </w:r>
        <w:r w:rsidR="00F22E83">
          <w:rPr>
            <w:noProof/>
            <w:webHidden/>
          </w:rPr>
          <w:t>2</w:t>
        </w:r>
        <w:r w:rsidR="00F22E83">
          <w:rPr>
            <w:noProof/>
            <w:webHidden/>
          </w:rPr>
          <w:fldChar w:fldCharType="end"/>
        </w:r>
      </w:hyperlink>
    </w:p>
    <w:p w14:paraId="2D1C0643" w14:textId="68F13A54" w:rsidR="00F22E83" w:rsidRDefault="00F22E83">
      <w:pPr>
        <w:pStyle w:val="TOC1"/>
        <w:tabs>
          <w:tab w:val="right" w:leader="dot" w:pos="8630"/>
        </w:tabs>
        <w:rPr>
          <w:rFonts w:asciiTheme="minorHAnsi" w:hAnsiTheme="minorHAnsi"/>
          <w:noProof/>
          <w:kern w:val="2"/>
          <w14:ligatures w14:val="standardContextual"/>
        </w:rPr>
      </w:pPr>
      <w:hyperlink w:anchor="_Toc213766918" w:history="1">
        <w:r w:rsidRPr="008C3079">
          <w:rPr>
            <w:rStyle w:val="Hyperlink"/>
            <w:noProof/>
          </w:rPr>
          <w:t>List of Figures</w:t>
        </w:r>
        <w:r>
          <w:rPr>
            <w:noProof/>
            <w:webHidden/>
          </w:rPr>
          <w:tab/>
        </w:r>
        <w:r>
          <w:rPr>
            <w:noProof/>
            <w:webHidden/>
          </w:rPr>
          <w:fldChar w:fldCharType="begin"/>
        </w:r>
        <w:r>
          <w:rPr>
            <w:noProof/>
            <w:webHidden/>
          </w:rPr>
          <w:instrText xml:space="preserve"> PAGEREF _Toc213766918 \h </w:instrText>
        </w:r>
        <w:r>
          <w:rPr>
            <w:noProof/>
            <w:webHidden/>
          </w:rPr>
        </w:r>
        <w:r>
          <w:rPr>
            <w:noProof/>
            <w:webHidden/>
          </w:rPr>
          <w:fldChar w:fldCharType="separate"/>
        </w:r>
        <w:r>
          <w:rPr>
            <w:noProof/>
            <w:webHidden/>
          </w:rPr>
          <w:t>2</w:t>
        </w:r>
        <w:r>
          <w:rPr>
            <w:noProof/>
            <w:webHidden/>
          </w:rPr>
          <w:fldChar w:fldCharType="end"/>
        </w:r>
      </w:hyperlink>
    </w:p>
    <w:p w14:paraId="2729049E" w14:textId="7E923ED2" w:rsidR="00F22E83" w:rsidRDefault="00F22E83">
      <w:pPr>
        <w:pStyle w:val="TOC1"/>
        <w:tabs>
          <w:tab w:val="right" w:leader="dot" w:pos="8630"/>
        </w:tabs>
        <w:rPr>
          <w:rFonts w:asciiTheme="minorHAnsi" w:hAnsiTheme="minorHAnsi"/>
          <w:noProof/>
          <w:kern w:val="2"/>
          <w14:ligatures w14:val="standardContextual"/>
        </w:rPr>
      </w:pPr>
      <w:hyperlink w:anchor="_Toc213766919" w:history="1">
        <w:r w:rsidRPr="008C3079">
          <w:rPr>
            <w:rStyle w:val="Hyperlink"/>
            <w:noProof/>
          </w:rPr>
          <w:t>1 Section Header 1</w:t>
        </w:r>
        <w:r>
          <w:rPr>
            <w:noProof/>
            <w:webHidden/>
          </w:rPr>
          <w:tab/>
        </w:r>
        <w:r>
          <w:rPr>
            <w:noProof/>
            <w:webHidden/>
          </w:rPr>
          <w:fldChar w:fldCharType="begin"/>
        </w:r>
        <w:r>
          <w:rPr>
            <w:noProof/>
            <w:webHidden/>
          </w:rPr>
          <w:instrText xml:space="preserve"> PAGEREF _Toc213766919 \h </w:instrText>
        </w:r>
        <w:r>
          <w:rPr>
            <w:noProof/>
            <w:webHidden/>
          </w:rPr>
        </w:r>
        <w:r>
          <w:rPr>
            <w:noProof/>
            <w:webHidden/>
          </w:rPr>
          <w:fldChar w:fldCharType="separate"/>
        </w:r>
        <w:r>
          <w:rPr>
            <w:noProof/>
            <w:webHidden/>
          </w:rPr>
          <w:t>3</w:t>
        </w:r>
        <w:r>
          <w:rPr>
            <w:noProof/>
            <w:webHidden/>
          </w:rPr>
          <w:fldChar w:fldCharType="end"/>
        </w:r>
      </w:hyperlink>
    </w:p>
    <w:p w14:paraId="6BA2F7CA" w14:textId="2D656852" w:rsidR="00F22E83" w:rsidRDefault="00F22E83">
      <w:pPr>
        <w:pStyle w:val="TOC2"/>
        <w:tabs>
          <w:tab w:val="right" w:leader="dot" w:pos="8630"/>
        </w:tabs>
        <w:rPr>
          <w:rFonts w:asciiTheme="minorHAnsi" w:hAnsiTheme="minorHAnsi"/>
          <w:noProof/>
          <w:kern w:val="2"/>
          <w14:ligatures w14:val="standardContextual"/>
        </w:rPr>
      </w:pPr>
      <w:hyperlink w:anchor="_Toc213766920" w:history="1">
        <w:r w:rsidRPr="008C3079">
          <w:rPr>
            <w:rStyle w:val="Hyperlink"/>
            <w:noProof/>
          </w:rPr>
          <w:t>1.1 Section Sub-Header 1</w:t>
        </w:r>
        <w:r>
          <w:rPr>
            <w:noProof/>
            <w:webHidden/>
          </w:rPr>
          <w:tab/>
        </w:r>
        <w:r>
          <w:rPr>
            <w:noProof/>
            <w:webHidden/>
          </w:rPr>
          <w:fldChar w:fldCharType="begin"/>
        </w:r>
        <w:r>
          <w:rPr>
            <w:noProof/>
            <w:webHidden/>
          </w:rPr>
          <w:instrText xml:space="preserve"> PAGEREF _Toc213766920 \h </w:instrText>
        </w:r>
        <w:r>
          <w:rPr>
            <w:noProof/>
            <w:webHidden/>
          </w:rPr>
        </w:r>
        <w:r>
          <w:rPr>
            <w:noProof/>
            <w:webHidden/>
          </w:rPr>
          <w:fldChar w:fldCharType="separate"/>
        </w:r>
        <w:r>
          <w:rPr>
            <w:noProof/>
            <w:webHidden/>
          </w:rPr>
          <w:t>3</w:t>
        </w:r>
        <w:r>
          <w:rPr>
            <w:noProof/>
            <w:webHidden/>
          </w:rPr>
          <w:fldChar w:fldCharType="end"/>
        </w:r>
      </w:hyperlink>
    </w:p>
    <w:p w14:paraId="6608EAC7" w14:textId="45169CBE" w:rsidR="00F22E83" w:rsidRDefault="00F22E83">
      <w:pPr>
        <w:pStyle w:val="TOC3"/>
        <w:tabs>
          <w:tab w:val="right" w:leader="dot" w:pos="8630"/>
        </w:tabs>
        <w:rPr>
          <w:rFonts w:asciiTheme="minorHAnsi" w:hAnsiTheme="minorHAnsi"/>
          <w:noProof/>
          <w:kern w:val="2"/>
          <w14:ligatures w14:val="standardContextual"/>
        </w:rPr>
      </w:pPr>
      <w:hyperlink w:anchor="_Toc213766921" w:history="1">
        <w:r w:rsidRPr="008C3079">
          <w:rPr>
            <w:rStyle w:val="Hyperlink"/>
            <w:noProof/>
          </w:rPr>
          <w:t>1.1.1 Section Sub-Header 2</w:t>
        </w:r>
        <w:r>
          <w:rPr>
            <w:noProof/>
            <w:webHidden/>
          </w:rPr>
          <w:tab/>
        </w:r>
        <w:r>
          <w:rPr>
            <w:noProof/>
            <w:webHidden/>
          </w:rPr>
          <w:fldChar w:fldCharType="begin"/>
        </w:r>
        <w:r>
          <w:rPr>
            <w:noProof/>
            <w:webHidden/>
          </w:rPr>
          <w:instrText xml:space="preserve"> PAGEREF _Toc213766921 \h </w:instrText>
        </w:r>
        <w:r>
          <w:rPr>
            <w:noProof/>
            <w:webHidden/>
          </w:rPr>
        </w:r>
        <w:r>
          <w:rPr>
            <w:noProof/>
            <w:webHidden/>
          </w:rPr>
          <w:fldChar w:fldCharType="separate"/>
        </w:r>
        <w:r>
          <w:rPr>
            <w:noProof/>
            <w:webHidden/>
          </w:rPr>
          <w:t>3</w:t>
        </w:r>
        <w:r>
          <w:rPr>
            <w:noProof/>
            <w:webHidden/>
          </w:rPr>
          <w:fldChar w:fldCharType="end"/>
        </w:r>
      </w:hyperlink>
    </w:p>
    <w:p w14:paraId="7F23D1CB" w14:textId="70600969" w:rsidR="00F22E83" w:rsidRDefault="00F22E83">
      <w:pPr>
        <w:pStyle w:val="TOC2"/>
        <w:tabs>
          <w:tab w:val="right" w:leader="dot" w:pos="8630"/>
        </w:tabs>
        <w:rPr>
          <w:rFonts w:asciiTheme="minorHAnsi" w:hAnsiTheme="minorHAnsi"/>
          <w:noProof/>
          <w:kern w:val="2"/>
          <w14:ligatures w14:val="standardContextual"/>
        </w:rPr>
      </w:pPr>
      <w:hyperlink w:anchor="_Toc213766922" w:history="1">
        <w:r w:rsidRPr="008C3079">
          <w:rPr>
            <w:rStyle w:val="Hyperlink"/>
            <w:noProof/>
          </w:rPr>
          <w:t>1.2 Section Sub-Header 5</w:t>
        </w:r>
        <w:r>
          <w:rPr>
            <w:noProof/>
            <w:webHidden/>
          </w:rPr>
          <w:tab/>
        </w:r>
        <w:r>
          <w:rPr>
            <w:noProof/>
            <w:webHidden/>
          </w:rPr>
          <w:fldChar w:fldCharType="begin"/>
        </w:r>
        <w:r>
          <w:rPr>
            <w:noProof/>
            <w:webHidden/>
          </w:rPr>
          <w:instrText xml:space="preserve"> PAGEREF _Toc213766922 \h </w:instrText>
        </w:r>
        <w:r>
          <w:rPr>
            <w:noProof/>
            <w:webHidden/>
          </w:rPr>
        </w:r>
        <w:r>
          <w:rPr>
            <w:noProof/>
            <w:webHidden/>
          </w:rPr>
          <w:fldChar w:fldCharType="separate"/>
        </w:r>
        <w:r>
          <w:rPr>
            <w:noProof/>
            <w:webHidden/>
          </w:rPr>
          <w:t>3</w:t>
        </w:r>
        <w:r>
          <w:rPr>
            <w:noProof/>
            <w:webHidden/>
          </w:rPr>
          <w:fldChar w:fldCharType="end"/>
        </w:r>
      </w:hyperlink>
    </w:p>
    <w:p w14:paraId="1C346278" w14:textId="0F0341BD" w:rsidR="00F22E83" w:rsidRDefault="00F22E83">
      <w:pPr>
        <w:pStyle w:val="TOC1"/>
        <w:tabs>
          <w:tab w:val="right" w:leader="dot" w:pos="8630"/>
        </w:tabs>
        <w:rPr>
          <w:rFonts w:asciiTheme="minorHAnsi" w:hAnsiTheme="minorHAnsi"/>
          <w:noProof/>
          <w:kern w:val="2"/>
          <w14:ligatures w14:val="standardContextual"/>
        </w:rPr>
      </w:pPr>
      <w:hyperlink w:anchor="_Toc213766923" w:history="1">
        <w:r w:rsidRPr="008C3079">
          <w:rPr>
            <w:rStyle w:val="Hyperlink"/>
            <w:noProof/>
          </w:rPr>
          <w:t>2 Section Header 2 - Table Content</w:t>
        </w:r>
        <w:r>
          <w:rPr>
            <w:noProof/>
            <w:webHidden/>
          </w:rPr>
          <w:tab/>
        </w:r>
        <w:r>
          <w:rPr>
            <w:noProof/>
            <w:webHidden/>
          </w:rPr>
          <w:fldChar w:fldCharType="begin"/>
        </w:r>
        <w:r>
          <w:rPr>
            <w:noProof/>
            <w:webHidden/>
          </w:rPr>
          <w:instrText xml:space="preserve"> PAGEREF _Toc213766923 \h </w:instrText>
        </w:r>
        <w:r>
          <w:rPr>
            <w:noProof/>
            <w:webHidden/>
          </w:rPr>
        </w:r>
        <w:r>
          <w:rPr>
            <w:noProof/>
            <w:webHidden/>
          </w:rPr>
          <w:fldChar w:fldCharType="separate"/>
        </w:r>
        <w:r>
          <w:rPr>
            <w:noProof/>
            <w:webHidden/>
          </w:rPr>
          <w:t>3</w:t>
        </w:r>
        <w:r>
          <w:rPr>
            <w:noProof/>
            <w:webHidden/>
          </w:rPr>
          <w:fldChar w:fldCharType="end"/>
        </w:r>
      </w:hyperlink>
    </w:p>
    <w:p w14:paraId="20B243AD" w14:textId="3FEF614F" w:rsidR="00F22E83" w:rsidRDefault="00F22E83">
      <w:pPr>
        <w:pStyle w:val="TOC2"/>
        <w:tabs>
          <w:tab w:val="right" w:leader="dot" w:pos="8630"/>
        </w:tabs>
        <w:rPr>
          <w:rFonts w:asciiTheme="minorHAnsi" w:hAnsiTheme="minorHAnsi"/>
          <w:noProof/>
          <w:kern w:val="2"/>
          <w14:ligatures w14:val="standardContextual"/>
        </w:rPr>
      </w:pPr>
      <w:hyperlink w:anchor="_Toc213766924" w:history="1">
        <w:r w:rsidRPr="008C3079">
          <w:rPr>
            <w:rStyle w:val="Hyperlink"/>
            <w:noProof/>
          </w:rPr>
          <w:t>2.1 Table Section 1</w:t>
        </w:r>
        <w:r>
          <w:rPr>
            <w:noProof/>
            <w:webHidden/>
          </w:rPr>
          <w:tab/>
        </w:r>
        <w:r>
          <w:rPr>
            <w:noProof/>
            <w:webHidden/>
          </w:rPr>
          <w:fldChar w:fldCharType="begin"/>
        </w:r>
        <w:r>
          <w:rPr>
            <w:noProof/>
            <w:webHidden/>
          </w:rPr>
          <w:instrText xml:space="preserve"> PAGEREF _Toc213766924 \h </w:instrText>
        </w:r>
        <w:r>
          <w:rPr>
            <w:noProof/>
            <w:webHidden/>
          </w:rPr>
        </w:r>
        <w:r>
          <w:rPr>
            <w:noProof/>
            <w:webHidden/>
          </w:rPr>
          <w:fldChar w:fldCharType="separate"/>
        </w:r>
        <w:r>
          <w:rPr>
            <w:noProof/>
            <w:webHidden/>
          </w:rPr>
          <w:t>3</w:t>
        </w:r>
        <w:r>
          <w:rPr>
            <w:noProof/>
            <w:webHidden/>
          </w:rPr>
          <w:fldChar w:fldCharType="end"/>
        </w:r>
      </w:hyperlink>
    </w:p>
    <w:p w14:paraId="71DB1285" w14:textId="69707CD0" w:rsidR="00F22E83" w:rsidRDefault="00F22E83">
      <w:pPr>
        <w:pStyle w:val="TOC2"/>
        <w:tabs>
          <w:tab w:val="right" w:leader="dot" w:pos="8630"/>
        </w:tabs>
        <w:rPr>
          <w:rFonts w:asciiTheme="minorHAnsi" w:hAnsiTheme="minorHAnsi"/>
          <w:noProof/>
          <w:kern w:val="2"/>
          <w14:ligatures w14:val="standardContextual"/>
        </w:rPr>
      </w:pPr>
      <w:hyperlink w:anchor="_Toc213766925" w:history="1">
        <w:r w:rsidRPr="008C3079">
          <w:rPr>
            <w:rStyle w:val="Hyperlink"/>
            <w:noProof/>
          </w:rPr>
          <w:t>2.2 Table Section 2</w:t>
        </w:r>
        <w:r>
          <w:rPr>
            <w:noProof/>
            <w:webHidden/>
          </w:rPr>
          <w:tab/>
        </w:r>
        <w:r>
          <w:rPr>
            <w:noProof/>
            <w:webHidden/>
          </w:rPr>
          <w:fldChar w:fldCharType="begin"/>
        </w:r>
        <w:r>
          <w:rPr>
            <w:noProof/>
            <w:webHidden/>
          </w:rPr>
          <w:instrText xml:space="preserve"> PAGEREF _Toc213766925 \h </w:instrText>
        </w:r>
        <w:r>
          <w:rPr>
            <w:noProof/>
            <w:webHidden/>
          </w:rPr>
        </w:r>
        <w:r>
          <w:rPr>
            <w:noProof/>
            <w:webHidden/>
          </w:rPr>
          <w:fldChar w:fldCharType="separate"/>
        </w:r>
        <w:r>
          <w:rPr>
            <w:noProof/>
            <w:webHidden/>
          </w:rPr>
          <w:t>3</w:t>
        </w:r>
        <w:r>
          <w:rPr>
            <w:noProof/>
            <w:webHidden/>
          </w:rPr>
          <w:fldChar w:fldCharType="end"/>
        </w:r>
      </w:hyperlink>
    </w:p>
    <w:p w14:paraId="7C626DE0" w14:textId="5D89F902" w:rsidR="00F22E83" w:rsidRDefault="00F22E83">
      <w:pPr>
        <w:pStyle w:val="TOC1"/>
        <w:tabs>
          <w:tab w:val="right" w:leader="dot" w:pos="8630"/>
        </w:tabs>
        <w:rPr>
          <w:rFonts w:asciiTheme="minorHAnsi" w:hAnsiTheme="minorHAnsi"/>
          <w:noProof/>
          <w:kern w:val="2"/>
          <w14:ligatures w14:val="standardContextual"/>
        </w:rPr>
      </w:pPr>
      <w:hyperlink w:anchor="_Toc213766926" w:history="1">
        <w:r w:rsidRPr="008C3079">
          <w:rPr>
            <w:rStyle w:val="Hyperlink"/>
            <w:noProof/>
          </w:rPr>
          <w:t>3 Section Header 3 - Image Section</w:t>
        </w:r>
        <w:r>
          <w:rPr>
            <w:noProof/>
            <w:webHidden/>
          </w:rPr>
          <w:tab/>
        </w:r>
        <w:r>
          <w:rPr>
            <w:noProof/>
            <w:webHidden/>
          </w:rPr>
          <w:fldChar w:fldCharType="begin"/>
        </w:r>
        <w:r>
          <w:rPr>
            <w:noProof/>
            <w:webHidden/>
          </w:rPr>
          <w:instrText xml:space="preserve"> PAGEREF _Toc213766926 \h </w:instrText>
        </w:r>
        <w:r>
          <w:rPr>
            <w:noProof/>
            <w:webHidden/>
          </w:rPr>
        </w:r>
        <w:r>
          <w:rPr>
            <w:noProof/>
            <w:webHidden/>
          </w:rPr>
          <w:fldChar w:fldCharType="separate"/>
        </w:r>
        <w:r>
          <w:rPr>
            <w:noProof/>
            <w:webHidden/>
          </w:rPr>
          <w:t>4</w:t>
        </w:r>
        <w:r>
          <w:rPr>
            <w:noProof/>
            <w:webHidden/>
          </w:rPr>
          <w:fldChar w:fldCharType="end"/>
        </w:r>
      </w:hyperlink>
    </w:p>
    <w:p w14:paraId="671E2A6D" w14:textId="7A771BA9" w:rsidR="00F22E83" w:rsidRDefault="00F22E83">
      <w:pPr>
        <w:pStyle w:val="TOC2"/>
        <w:tabs>
          <w:tab w:val="right" w:leader="dot" w:pos="8630"/>
        </w:tabs>
        <w:rPr>
          <w:rFonts w:asciiTheme="minorHAnsi" w:hAnsiTheme="minorHAnsi"/>
          <w:noProof/>
          <w:kern w:val="2"/>
          <w14:ligatures w14:val="standardContextual"/>
        </w:rPr>
      </w:pPr>
      <w:hyperlink w:anchor="_Toc213766927" w:history="1">
        <w:r w:rsidRPr="008C3079">
          <w:rPr>
            <w:rStyle w:val="Hyperlink"/>
            <w:noProof/>
          </w:rPr>
          <w:t>3.1 Image Content</w:t>
        </w:r>
        <w:r>
          <w:rPr>
            <w:noProof/>
            <w:webHidden/>
          </w:rPr>
          <w:tab/>
        </w:r>
        <w:r>
          <w:rPr>
            <w:noProof/>
            <w:webHidden/>
          </w:rPr>
          <w:fldChar w:fldCharType="begin"/>
        </w:r>
        <w:r>
          <w:rPr>
            <w:noProof/>
            <w:webHidden/>
          </w:rPr>
          <w:instrText xml:space="preserve"> PAGEREF _Toc213766927 \h </w:instrText>
        </w:r>
        <w:r>
          <w:rPr>
            <w:noProof/>
            <w:webHidden/>
          </w:rPr>
        </w:r>
        <w:r>
          <w:rPr>
            <w:noProof/>
            <w:webHidden/>
          </w:rPr>
          <w:fldChar w:fldCharType="separate"/>
        </w:r>
        <w:r>
          <w:rPr>
            <w:noProof/>
            <w:webHidden/>
          </w:rPr>
          <w:t>4</w:t>
        </w:r>
        <w:r>
          <w:rPr>
            <w:noProof/>
            <w:webHidden/>
          </w:rPr>
          <w:fldChar w:fldCharType="end"/>
        </w:r>
      </w:hyperlink>
    </w:p>
    <w:p w14:paraId="0B4E81C6" w14:textId="61EF4F42" w:rsidR="00F22E83" w:rsidRDefault="00F22E83">
      <w:pPr>
        <w:pStyle w:val="TOC1"/>
        <w:tabs>
          <w:tab w:val="right" w:leader="dot" w:pos="8630"/>
        </w:tabs>
        <w:rPr>
          <w:rFonts w:asciiTheme="minorHAnsi" w:hAnsiTheme="minorHAnsi"/>
          <w:noProof/>
          <w:kern w:val="2"/>
          <w14:ligatures w14:val="standardContextual"/>
        </w:rPr>
      </w:pPr>
      <w:hyperlink w:anchor="_Toc213766928" w:history="1">
        <w:r w:rsidRPr="008C3079">
          <w:rPr>
            <w:rStyle w:val="Hyperlink"/>
            <w:noProof/>
          </w:rPr>
          <w:t>4 Section Header 4</w:t>
        </w:r>
        <w:r>
          <w:rPr>
            <w:noProof/>
            <w:webHidden/>
          </w:rPr>
          <w:tab/>
        </w:r>
        <w:r>
          <w:rPr>
            <w:noProof/>
            <w:webHidden/>
          </w:rPr>
          <w:fldChar w:fldCharType="begin"/>
        </w:r>
        <w:r>
          <w:rPr>
            <w:noProof/>
            <w:webHidden/>
          </w:rPr>
          <w:instrText xml:space="preserve"> PAGEREF _Toc213766928 \h </w:instrText>
        </w:r>
        <w:r>
          <w:rPr>
            <w:noProof/>
            <w:webHidden/>
          </w:rPr>
        </w:r>
        <w:r>
          <w:rPr>
            <w:noProof/>
            <w:webHidden/>
          </w:rPr>
          <w:fldChar w:fldCharType="separate"/>
        </w:r>
        <w:r>
          <w:rPr>
            <w:noProof/>
            <w:webHidden/>
          </w:rPr>
          <w:t>4</w:t>
        </w:r>
        <w:r>
          <w:rPr>
            <w:noProof/>
            <w:webHidden/>
          </w:rPr>
          <w:fldChar w:fldCharType="end"/>
        </w:r>
      </w:hyperlink>
    </w:p>
    <w:p w14:paraId="5DD54B2A" w14:textId="589D521A" w:rsidR="00F22E83" w:rsidRDefault="00F22E83">
      <w:pPr>
        <w:pStyle w:val="TOC2"/>
        <w:tabs>
          <w:tab w:val="right" w:leader="dot" w:pos="8630"/>
        </w:tabs>
        <w:rPr>
          <w:rFonts w:asciiTheme="minorHAnsi" w:hAnsiTheme="minorHAnsi"/>
          <w:noProof/>
          <w:kern w:val="2"/>
          <w14:ligatures w14:val="standardContextual"/>
        </w:rPr>
      </w:pPr>
      <w:hyperlink w:anchor="_Toc213766929" w:history="1">
        <w:r w:rsidRPr="008C3079">
          <w:rPr>
            <w:rStyle w:val="Hyperlink"/>
            <w:noProof/>
          </w:rPr>
          <w:t>4.1 Additional Sub-Section</w:t>
        </w:r>
        <w:r>
          <w:rPr>
            <w:noProof/>
            <w:webHidden/>
          </w:rPr>
          <w:tab/>
        </w:r>
        <w:r>
          <w:rPr>
            <w:noProof/>
            <w:webHidden/>
          </w:rPr>
          <w:fldChar w:fldCharType="begin"/>
        </w:r>
        <w:r>
          <w:rPr>
            <w:noProof/>
            <w:webHidden/>
          </w:rPr>
          <w:instrText xml:space="preserve"> PAGEREF _Toc213766929 \h </w:instrText>
        </w:r>
        <w:r>
          <w:rPr>
            <w:noProof/>
            <w:webHidden/>
          </w:rPr>
        </w:r>
        <w:r>
          <w:rPr>
            <w:noProof/>
            <w:webHidden/>
          </w:rPr>
          <w:fldChar w:fldCharType="separate"/>
        </w:r>
        <w:r>
          <w:rPr>
            <w:noProof/>
            <w:webHidden/>
          </w:rPr>
          <w:t>5</w:t>
        </w:r>
        <w:r>
          <w:rPr>
            <w:noProof/>
            <w:webHidden/>
          </w:rPr>
          <w:fldChar w:fldCharType="end"/>
        </w:r>
      </w:hyperlink>
    </w:p>
    <w:p w14:paraId="5AB179F9" w14:textId="548ADC33" w:rsidR="00F22E83" w:rsidRDefault="00F22E83">
      <w:pPr>
        <w:pStyle w:val="TOC1"/>
        <w:tabs>
          <w:tab w:val="right" w:leader="dot" w:pos="8630"/>
        </w:tabs>
        <w:rPr>
          <w:rFonts w:asciiTheme="minorHAnsi" w:hAnsiTheme="minorHAnsi"/>
          <w:noProof/>
          <w:kern w:val="2"/>
          <w14:ligatures w14:val="standardContextual"/>
        </w:rPr>
      </w:pPr>
      <w:hyperlink w:anchor="_Toc213766930" w:history="1">
        <w:r w:rsidRPr="008C3079">
          <w:rPr>
            <w:rStyle w:val="Hyperlink"/>
            <w:noProof/>
          </w:rPr>
          <w:t>5 Sign-Off</w:t>
        </w:r>
        <w:r>
          <w:rPr>
            <w:noProof/>
            <w:webHidden/>
          </w:rPr>
          <w:tab/>
        </w:r>
        <w:r>
          <w:rPr>
            <w:noProof/>
            <w:webHidden/>
          </w:rPr>
          <w:fldChar w:fldCharType="begin"/>
        </w:r>
        <w:r>
          <w:rPr>
            <w:noProof/>
            <w:webHidden/>
          </w:rPr>
          <w:instrText xml:space="preserve"> PAGEREF _Toc213766930 \h </w:instrText>
        </w:r>
        <w:r>
          <w:rPr>
            <w:noProof/>
            <w:webHidden/>
          </w:rPr>
        </w:r>
        <w:r>
          <w:rPr>
            <w:noProof/>
            <w:webHidden/>
          </w:rPr>
          <w:fldChar w:fldCharType="separate"/>
        </w:r>
        <w:r>
          <w:rPr>
            <w:noProof/>
            <w:webHidden/>
          </w:rPr>
          <w:t>5</w:t>
        </w:r>
        <w:r>
          <w:rPr>
            <w:noProof/>
            <w:webHidden/>
          </w:rPr>
          <w:fldChar w:fldCharType="end"/>
        </w:r>
      </w:hyperlink>
    </w:p>
    <w:p w14:paraId="29F94744" w14:textId="65A13EFD" w:rsidR="00005CD9" w:rsidRDefault="00000000" w:rsidP="00FE553D">
      <w:pPr>
        <w:spacing w:before="60" w:after="60"/>
      </w:pPr>
      <w:r>
        <w:fldChar w:fldCharType="end"/>
      </w:r>
    </w:p>
    <w:p w14:paraId="05790209" w14:textId="77777777" w:rsidR="00F22E83" w:rsidRPr="00366A13" w:rsidRDefault="00F22E83" w:rsidP="00F22E83">
      <w:pPr>
        <w:pStyle w:val="Heading1"/>
        <w:spacing w:after="60" w:before="120"/>
      </w:pPr>
      <w:r w:rsidRPr="00366A13">
        <w:t xml:space="preserve">List of </w:t>
      </w:r>
      <w:r>
        <w:t>Tables</w:t>
      </w:r>
    </w:p>
    <w:p>
      <w:pPr/>
      <w:r>
        <w:fldChar w:fldCharType="begin"/>
      </w:r>
      <w:r>
        <w:instrText xml:space="preserve"> TOC \h \z \c "Table" </w:instrText>
      </w:r>
      <w:r>
        <w:fldChar w:fldCharType="separate"/>
      </w:r>
      <w:r>
        <w:rPr>
          <w:rFonts w:ascii="Times New Roman" w:hAnsi="Times New Roman"/>
          <w:sz w:val="24"/>
        </w:rPr>
        <w:t>Table 1: Project Deliverables and Acceptance Criteria</w:t>
        <w:tab/>
        <w:t>3</w:t>
        <w:br/>
      </w:r>
      <w:r>
        <w:rPr>
          <w:rFonts w:ascii="Times New Roman" w:hAnsi="Times New Roman"/>
          <w:sz w:val="24"/>
        </w:rPr>
        <w:t>Table 2: Project Milestones and Timeline</w:t>
        <w:tab/>
        <w:t>4</w:t>
        <w:br/>
      </w:r>
      <w:r>
        <w:rPr>
          <w:rFonts w:ascii="Times New Roman" w:hAnsi="Times New Roman"/>
          <w:sz w:val="24"/>
        </w:rPr>
        <w:t>Table 3: Roles and Responsibilities (RACI Matrix)</w:t>
        <w:tab/>
        <w:t>5</w:t>
        <w:br/>
      </w:r>
      <w:r>
        <w:rPr>
          <w:rFonts w:ascii="Times New Roman" w:hAnsi="Times New Roman"/>
          <w:sz w:val="24"/>
        </w:rPr>
        <w:t>Table 4: Tooling Overview</w:t>
        <w:tab/>
        <w:t>6</w:t>
        <w:br/>
      </w:r>
      <w:r>
        <w:rPr>
          <w:rFonts w:ascii="Times New Roman" w:hAnsi="Times New Roman"/>
          <w:sz w:val="24"/>
        </w:rPr>
        <w:t>Table 5: Pricing And Investment Summary</w:t>
        <w:tab/>
        <w:t>7</w:t>
      </w:r>
      <w:r>
        <w:fldChar w:fldCharType="end"/>
      </w:r>
    </w:p>
    <w:p w14:paraId="374FA4FB" w14:textId="54538A62" w:rsidR="00F22E83" w:rsidRPr="00FE553D" w:rsidRDefault="00F22E83" w:rsidP="00F22E83">
      <w:pPr>
        <w:spacing w:before="60" w:after="60"/>
      </w:pPr>
      <w:r>
        <w:rPr>
          <w:rFonts w:cs="Times New Roman"/>
        </w:rPr>
        <w:fldChar w:fldCharType="end"/>
      </w:r>
    </w:p>
    <w:p w14:paraId="51DB8CCD" w14:textId="60FC3311" w:rsidR="00005CD9" w:rsidRPr="00366A13" w:rsidRDefault="00000000" w:rsidP="00F22E83">
      <w:pPr>
        <w:pStyle w:val="Heading1"/>
        <w:spacing w:after="60" w:before="120"/>
      </w:pPr>
      <w:bookmarkStart w:id="1" w:name="_Toc213766918"/>
      <w:r w:rsidRPr="00366A13">
        <w:t>List of Figures</w:t>
      </w:r>
      <w:bookmarkEnd w:id="1"/>
    </w:p>
    <w:p>
      <w:pPr/>
      <w:r>
        <w:fldChar w:fldCharType="begin"/>
      </w:r>
      <w:r>
        <w:instrText xml:space="preserve"> TOC \h \z \c "Figure" </w:instrText>
      </w:r>
      <w:r>
        <w:fldChar w:fldCharType="separate"/>
      </w:r>
      <w:r>
        <w:rPr>
          <w:rFonts w:ascii="Times New Roman" w:hAnsi="Times New Roman"/>
          <w:sz w:val="24"/>
        </w:rPr>
        <w:t>Figure 1: Solution Architecture Diagram</w:t>
        <w:tab/>
        <w:t>11</w:t>
      </w:r>
      <w:r>
        <w:fldChar w:fldCharType="end"/>
      </w:r>
    </w:p>
    <w:p w14:paraId="42C2D44F" w14:textId="1410A98C" w:rsidR="00005CD9" w:rsidRPr="00366A13" w:rsidRDefault="00000000">
      <w:pPr>
        <w:rPr>
          <w:rFonts w:cs="Times New Roman"/>
        </w:rPr>
      </w:pPr>
      <w:r w:rsidRPr="00366A13">
        <w:rPr>
          <w:rFonts w:cs="Times New Roman"/>
        </w:rPr>
        <w:br w:type="page"/>
      </w:r>
    </w:p>
    <w:p>
      <w:pPr>
        <w:pStyle w:val="Heading2"/>
        <w:spacing w:before="240" w:after="120"/>
        <w:ind w:left="0" w:firstLine="0"/>
      </w:pPr>
      <w:r>
        <w:t>1 Executive Summary</w:t>
      </w:r>
    </w:p>
    <w:p>
      <w:pPr>
        <w:spacing w:after="160"/>
      </w:pPr>
      <w:r>
        <w:rPr>
          <w:rFonts w:ascii="Times New Roman" w:hAnsi="Times New Roman"/>
          <w:sz w:val="24"/>
        </w:rPr>
        <w:t xml:space="preserve">This Statement of Work (SOW) defines the scope, deliverables, roles, and terms for migration of </w:t>
      </w:r>
      <w:r>
        <w:rPr>
          <w:rFonts w:ascii="Times New Roman" w:hAnsi="Times New Roman"/>
          <w:b/>
          <w:sz w:val="24"/>
        </w:rPr>
        <w:t>[#] workloads</w:t>
      </w:r>
      <w:r>
        <w:rPr>
          <w:rFonts w:ascii="Times New Roman" w:hAnsi="Times New Roman"/>
          <w:sz w:val="24"/>
        </w:rPr>
        <w:t xml:space="preserve"> from </w:t>
      </w:r>
      <w:r>
        <w:rPr>
          <w:rFonts w:ascii="Times New Roman" w:hAnsi="Times New Roman"/>
          <w:b/>
          <w:sz w:val="24"/>
        </w:rPr>
        <w:t>[on-prem/data center/cloud provider]</w:t>
      </w:r>
      <w:r>
        <w:rPr>
          <w:rFonts w:ascii="Times New Roman" w:hAnsi="Times New Roman"/>
          <w:sz w:val="24"/>
        </w:rPr>
        <w:t xml:space="preserve"> to </w:t>
      </w:r>
      <w:r>
        <w:rPr>
          <w:rFonts w:ascii="Times New Roman" w:hAnsi="Times New Roman"/>
          <w:b/>
          <w:sz w:val="24"/>
        </w:rPr>
        <w:t>Amazon Web Services (AWS).</w:t>
      </w:r>
    </w:p>
    <w:p>
      <w:pPr>
        <w:pStyle w:val="Heading2"/>
        <w:spacing w:before="240" w:after="120"/>
        <w:ind w:left="0" w:firstLine="0"/>
      </w:pPr>
      <w:r>
        <w:t>2 Background &amp; Objectives</w:t>
      </w:r>
    </w:p>
    <w:p>
      <w:pPr>
        <w:pStyle w:val="Heading3"/>
        <w:spacing w:before="160" w:after="120"/>
        <w:ind w:left="0" w:firstLine="0"/>
      </w:pPr>
      <w:r>
        <w:t>2.1 Background</w:t>
      </w:r>
    </w:p>
    <w:p>
      <w:pPr>
        <w:spacing w:after="160"/>
      </w:pPr>
      <w:r>
        <w:rPr>
          <w:rFonts w:ascii="Times New Roman" w:hAnsi="Times New Roman"/>
          <w:sz w:val="24"/>
        </w:rPr>
        <w:t xml:space="preserve">Client currently hosts </w:t>
      </w:r>
      <w:r>
        <w:rPr>
          <w:rFonts w:ascii="Times New Roman" w:hAnsi="Times New Roman"/>
          <w:b/>
          <w:sz w:val="24"/>
        </w:rPr>
        <w:t>[#] applications</w:t>
      </w:r>
      <w:r>
        <w:rPr>
          <w:rFonts w:ascii="Times New Roman" w:hAnsi="Times New Roman"/>
          <w:sz w:val="24"/>
        </w:rPr>
        <w:t xml:space="preserve"> on </w:t>
      </w:r>
      <w:r>
        <w:rPr>
          <w:rFonts w:ascii="Times New Roman" w:hAnsi="Times New Roman"/>
          <w:b/>
          <w:sz w:val="24"/>
        </w:rPr>
        <w:t>[VMware/Hyper-V/Physical servers]</w:t>
      </w:r>
      <w:r>
        <w:rPr>
          <w:rFonts w:ascii="Times New Roman" w:hAnsi="Times New Roman"/>
          <w:sz w:val="24"/>
        </w:rPr>
        <w:t xml:space="preserve"> across </w:t>
      </w:r>
      <w:r>
        <w:rPr>
          <w:rFonts w:ascii="Times New Roman" w:hAnsi="Times New Roman"/>
          <w:b/>
          <w:sz w:val="24"/>
        </w:rPr>
        <w:t>[#] environments</w:t>
      </w:r>
      <w:r>
        <w:rPr>
          <w:rFonts w:ascii="Times New Roman" w:hAnsi="Times New Roman"/>
          <w:sz w:val="24"/>
        </w:rPr>
        <w:t>. Challenges include:</w:t>
      </w:r>
    </w:p>
    <w:p>
      <w:pPr>
        <w:spacing w:after="80"/>
        <w:ind w:left="720" w:hanging="360"/>
      </w:pPr>
      <w:r>
        <w:rPr>
          <w:rFonts w:ascii="Times New Roman" w:hAnsi="Times New Roman"/>
          <w:sz w:val="24"/>
        </w:rPr>
        <w:t xml:space="preserve">• </w:t>
      </w:r>
      <w:r>
        <w:rPr>
          <w:rFonts w:ascii="Times New Roman" w:hAnsi="Times New Roman"/>
          <w:sz w:val="24"/>
        </w:rPr>
        <w:t>[e.g., scaling]</w:t>
      </w:r>
    </w:p>
    <w:p>
      <w:pPr>
        <w:spacing w:after="80"/>
        <w:ind w:left="720" w:hanging="360"/>
      </w:pPr>
      <w:r>
        <w:rPr>
          <w:rFonts w:ascii="Times New Roman" w:hAnsi="Times New Roman"/>
          <w:sz w:val="24"/>
        </w:rPr>
        <w:t xml:space="preserve">• </w:t>
      </w:r>
      <w:r>
        <w:rPr>
          <w:rFonts w:ascii="Times New Roman" w:hAnsi="Times New Roman"/>
          <w:sz w:val="24"/>
        </w:rPr>
        <w:t>[e.g., end-of-life hardware]</w:t>
      </w:r>
    </w:p>
    <w:p>
      <w:pPr>
        <w:spacing w:after="80"/>
        <w:ind w:left="720" w:hanging="360"/>
      </w:pPr>
      <w:r>
        <w:rPr>
          <w:rFonts w:ascii="Times New Roman" w:hAnsi="Times New Roman"/>
          <w:sz w:val="24"/>
        </w:rPr>
        <w:t xml:space="preserve">• </w:t>
      </w:r>
      <w:r>
        <w:rPr>
          <w:rFonts w:ascii="Times New Roman" w:hAnsi="Times New Roman"/>
          <w:sz w:val="24"/>
        </w:rPr>
        <w:t>[e.g., data center contract expiration]</w:t>
      </w:r>
    </w:p>
    <w:p>
      <w:pPr>
        <w:pStyle w:val="Heading3"/>
        <w:spacing w:before="160" w:after="120"/>
        <w:ind w:left="0" w:firstLine="0"/>
      </w:pPr>
      <w:r>
        <w:t>2.2 Objectives</w:t>
      </w:r>
    </w:p>
    <w:p>
      <w:pPr>
        <w:spacing w:after="80"/>
        <w:ind w:left="720" w:hanging="360"/>
      </w:pPr>
      <w:r>
        <w:rPr>
          <w:rFonts w:ascii="Times New Roman" w:hAnsi="Times New Roman"/>
          <w:sz w:val="24"/>
        </w:rPr>
        <w:t xml:space="preserve">• </w:t>
      </w:r>
      <w:r>
        <w:rPr>
          <w:rFonts w:ascii="Times New Roman" w:hAnsi="Times New Roman"/>
          <w:sz w:val="24"/>
        </w:rPr>
        <w:t xml:space="preserve">Migrate </w:t>
      </w:r>
      <w:r>
        <w:rPr>
          <w:rFonts w:ascii="Times New Roman" w:hAnsi="Times New Roman"/>
          <w:b/>
          <w:sz w:val="24"/>
        </w:rPr>
        <w:t>[#] workloads</w:t>
      </w:r>
      <w:r>
        <w:rPr>
          <w:rFonts w:ascii="Times New Roman" w:hAnsi="Times New Roman"/>
          <w:sz w:val="24"/>
        </w:rPr>
        <w:t xml:space="preserve"> to AWS using proven tooling such as AWS MGN and DMS.</w:t>
      </w:r>
    </w:p>
    <w:p>
      <w:pPr>
        <w:spacing w:after="80"/>
        <w:ind w:left="720" w:hanging="360"/>
      </w:pPr>
      <w:r>
        <w:rPr>
          <w:rFonts w:ascii="Times New Roman" w:hAnsi="Times New Roman"/>
          <w:sz w:val="24"/>
        </w:rPr>
        <w:t xml:space="preserve">• </w:t>
      </w:r>
      <w:r>
        <w:rPr>
          <w:rFonts w:ascii="Times New Roman" w:hAnsi="Times New Roman"/>
          <w:sz w:val="24"/>
        </w:rPr>
        <w:t>Improve security posture using VPC segmentation, IAM controls, GuardDuty, etc.</w:t>
      </w:r>
    </w:p>
    <w:p>
      <w:pPr>
        <w:spacing w:after="80"/>
        <w:ind w:left="720" w:hanging="360"/>
      </w:pPr>
      <w:r>
        <w:rPr>
          <w:rFonts w:ascii="Times New Roman" w:hAnsi="Times New Roman"/>
          <w:sz w:val="24"/>
        </w:rPr>
        <w:t xml:space="preserve">• </w:t>
      </w:r>
      <w:r>
        <w:rPr>
          <w:rFonts w:ascii="Times New Roman" w:hAnsi="Times New Roman"/>
          <w:sz w:val="24"/>
        </w:rPr>
        <w:t>Reduce TCO by leveraging managed services (e.g., RDS, ECS Fargate).</w:t>
      </w:r>
    </w:p>
    <w:p>
      <w:pPr>
        <w:spacing w:after="80"/>
        <w:ind w:left="720" w:hanging="360"/>
      </w:pPr>
      <w:r>
        <w:rPr>
          <w:rFonts w:ascii="Times New Roman" w:hAnsi="Times New Roman"/>
          <w:sz w:val="24"/>
        </w:rPr>
        <w:t xml:space="preserve">• </w:t>
      </w:r>
      <w:r>
        <w:rPr>
          <w:rFonts w:ascii="Times New Roman" w:hAnsi="Times New Roman"/>
          <w:sz w:val="24"/>
        </w:rPr>
        <w:t>Enable DR across AZs or regions where applicable.</w:t>
      </w:r>
    </w:p>
    <w:p>
      <w:pPr>
        <w:pStyle w:val="Heading3"/>
        <w:spacing w:before="160" w:after="120"/>
        <w:ind w:left="0" w:firstLine="0"/>
      </w:pPr>
      <w:r>
        <w:t>2.3 Success Metrics</w:t>
      </w:r>
    </w:p>
    <w:p>
      <w:pPr>
        <w:spacing w:after="80"/>
        <w:ind w:left="720" w:hanging="360"/>
      </w:pPr>
      <w:r>
        <w:rPr>
          <w:rFonts w:ascii="Times New Roman" w:hAnsi="Times New Roman"/>
          <w:sz w:val="24"/>
        </w:rPr>
        <w:t xml:space="preserve">• </w:t>
      </w:r>
      <w:r>
        <w:rPr>
          <w:rFonts w:ascii="Times New Roman" w:hAnsi="Times New Roman"/>
          <w:sz w:val="24"/>
        </w:rPr>
        <w:t>Zero high-severity issues during cutover</w:t>
      </w:r>
    </w:p>
    <w:p>
      <w:pPr>
        <w:spacing w:after="80"/>
        <w:ind w:left="720" w:hanging="360"/>
      </w:pPr>
      <w:r>
        <w:rPr>
          <w:rFonts w:ascii="Times New Roman" w:hAnsi="Times New Roman"/>
          <w:sz w:val="24"/>
        </w:rPr>
        <w:t xml:space="preserve">• </w:t>
      </w:r>
      <w:r>
        <w:rPr>
          <w:rFonts w:ascii="Times New Roman" w:hAnsi="Times New Roman"/>
          <w:sz w:val="24"/>
        </w:rPr>
        <w:t>App latency &lt; [X ms] post-migration</w:t>
      </w:r>
    </w:p>
    <w:p>
      <w:pPr>
        <w:spacing w:after="80"/>
        <w:ind w:left="720" w:hanging="360"/>
      </w:pPr>
      <w:r>
        <w:rPr>
          <w:rFonts w:ascii="Times New Roman" w:hAnsi="Times New Roman"/>
          <w:sz w:val="24"/>
        </w:rPr>
        <w:t xml:space="preserve">• </w:t>
      </w:r>
      <w:r>
        <w:rPr>
          <w:rFonts w:ascii="Times New Roman" w:hAnsi="Times New Roman"/>
          <w:sz w:val="24"/>
        </w:rPr>
        <w:t>99.9% uptime during the stabilization period</w:t>
      </w:r>
    </w:p>
    <w:p>
      <w:pPr>
        <w:spacing w:after="80"/>
        <w:ind w:left="720" w:hanging="360"/>
      </w:pPr>
      <w:r>
        <w:rPr>
          <w:rFonts w:ascii="Times New Roman" w:hAnsi="Times New Roman"/>
          <w:sz w:val="24"/>
        </w:rPr>
        <w:t xml:space="preserve">• </w:t>
      </w:r>
      <w:r>
        <w:rPr>
          <w:rFonts w:ascii="Times New Roman" w:hAnsi="Times New Roman"/>
          <w:sz w:val="24"/>
        </w:rPr>
        <w:t>20–35% cost reduction vs. on-prem within 12 months</w:t>
      </w:r>
    </w:p>
    <w:p>
      <w:pPr>
        <w:pStyle w:val="Heading2"/>
        <w:spacing w:before="240" w:after="120"/>
        <w:ind w:left="0" w:firstLine="0"/>
      </w:pPr>
      <w:r>
        <w:t>3 Scope of Work</w:t>
      </w:r>
    </w:p>
    <w:p>
      <w:pPr>
        <w:pStyle w:val="Heading3"/>
        <w:spacing w:before="160" w:after="120"/>
        <w:ind w:left="0" w:firstLine="0"/>
      </w:pPr>
      <w:r>
        <w:t>3.1 In Scope</w:t>
      </w:r>
    </w:p>
    <w:p>
      <w:pPr>
        <w:spacing w:after="80"/>
        <w:ind w:left="720" w:hanging="360"/>
      </w:pPr>
      <w:r>
        <w:rPr>
          <w:rFonts w:ascii="Times New Roman" w:hAnsi="Times New Roman"/>
          <w:sz w:val="24"/>
        </w:rPr>
        <w:t xml:space="preserve">• </w:t>
      </w:r>
      <w:r>
        <w:rPr>
          <w:rFonts w:ascii="Times New Roman" w:hAnsi="Times New Roman"/>
          <w:sz w:val="24"/>
        </w:rPr>
        <w:t>Workload discovery &amp; dependency analysis (via AWS Application Discovery Service)</w:t>
      </w:r>
    </w:p>
    <w:p>
      <w:pPr>
        <w:spacing w:after="80"/>
        <w:ind w:left="720" w:hanging="360"/>
      </w:pPr>
      <w:r>
        <w:rPr>
          <w:rFonts w:ascii="Times New Roman" w:hAnsi="Times New Roman"/>
          <w:sz w:val="24"/>
        </w:rPr>
        <w:t xml:space="preserve">• </w:t>
      </w:r>
      <w:r>
        <w:rPr>
          <w:rFonts w:ascii="Times New Roman" w:hAnsi="Times New Roman"/>
          <w:sz w:val="24"/>
        </w:rPr>
        <w:t>AWS Landing Zone deployment (Control Tower or Terraform)</w:t>
      </w:r>
    </w:p>
    <w:p>
      <w:pPr>
        <w:spacing w:after="80"/>
        <w:ind w:left="720" w:hanging="360"/>
      </w:pPr>
      <w:r>
        <w:rPr>
          <w:rFonts w:ascii="Times New Roman" w:hAnsi="Times New Roman"/>
          <w:sz w:val="24"/>
        </w:rPr>
        <w:t xml:space="preserve">• </w:t>
      </w:r>
      <w:r>
        <w:rPr>
          <w:rFonts w:ascii="Times New Roman" w:hAnsi="Times New Roman"/>
          <w:sz w:val="24"/>
        </w:rPr>
        <w:t>VPC, subnet, routing, and shared services setup</w:t>
      </w:r>
    </w:p>
    <w:p>
      <w:pPr>
        <w:spacing w:after="80"/>
        <w:ind w:left="720" w:hanging="360"/>
      </w:pPr>
      <w:r>
        <w:rPr>
          <w:rFonts w:ascii="Times New Roman" w:hAnsi="Times New Roman"/>
          <w:sz w:val="24"/>
        </w:rPr>
        <w:t xml:space="preserve">• </w:t>
      </w:r>
      <w:r>
        <w:rPr>
          <w:rFonts w:ascii="Times New Roman" w:hAnsi="Times New Roman"/>
          <w:sz w:val="24"/>
        </w:rPr>
        <w:t>Workload migration using AWS MGN / CloudEndure</w:t>
      </w:r>
    </w:p>
    <w:p>
      <w:pPr>
        <w:spacing w:after="80"/>
        <w:ind w:left="720" w:hanging="360"/>
      </w:pPr>
      <w:r>
        <w:rPr>
          <w:rFonts w:ascii="Times New Roman" w:hAnsi="Times New Roman"/>
          <w:sz w:val="24"/>
        </w:rPr>
        <w:t xml:space="preserve">• </w:t>
      </w:r>
      <w:r>
        <w:rPr>
          <w:rFonts w:ascii="Times New Roman" w:hAnsi="Times New Roman"/>
          <w:sz w:val="24"/>
        </w:rPr>
        <w:t>RDS migration (if part of replatform strategy)</w:t>
      </w:r>
    </w:p>
    <w:p>
      <w:pPr>
        <w:spacing w:after="80"/>
        <w:ind w:left="720" w:hanging="360"/>
      </w:pPr>
      <w:r>
        <w:rPr>
          <w:rFonts w:ascii="Times New Roman" w:hAnsi="Times New Roman"/>
          <w:sz w:val="24"/>
        </w:rPr>
        <w:t xml:space="preserve">• </w:t>
      </w:r>
      <w:r>
        <w:rPr>
          <w:rFonts w:ascii="Times New Roman" w:hAnsi="Times New Roman"/>
          <w:sz w:val="24"/>
        </w:rPr>
        <w:t>Cutover, DNS updates, and validation</w:t>
      </w:r>
    </w:p>
    <w:p>
      <w:pPr>
        <w:spacing w:after="80"/>
        <w:ind w:left="720" w:hanging="360"/>
      </w:pPr>
      <w:r>
        <w:rPr>
          <w:rFonts w:ascii="Times New Roman" w:hAnsi="Times New Roman"/>
          <w:sz w:val="24"/>
        </w:rPr>
        <w:t xml:space="preserve">• </w:t>
      </w:r>
      <w:r>
        <w:rPr>
          <w:rFonts w:ascii="Times New Roman" w:hAnsi="Times New Roman"/>
          <w:sz w:val="24"/>
        </w:rPr>
        <w:t>Knowledge transfer and documentation</w:t>
      </w:r>
    </w:p>
    <w:p>
      <w:pPr>
        <w:pStyle w:val="Heading3"/>
        <w:spacing w:before="160" w:after="120"/>
        <w:ind w:left="0" w:firstLine="0"/>
      </w:pPr>
      <w:r>
        <w:t>3.2 Activities</w:t>
      </w:r>
    </w:p>
    <w:p>
      <w:pPr>
        <w:pStyle w:val="Heading4"/>
        <w:spacing w:before="160" w:after="120"/>
        <w:ind w:left="0" w:firstLine="0"/>
      </w:pPr>
      <w:r>
        <w:t>3.2.1 Phase 1 – Discovery &amp; Assessment</w:t>
      </w:r>
    </w:p>
    <w:p>
      <w:pPr>
        <w:spacing w:after="160"/>
      </w:pPr>
      <w:r>
        <w:rPr>
          <w:rFonts w:ascii="Times New Roman" w:hAnsi="Times New Roman"/>
          <w:sz w:val="24"/>
        </w:rPr>
        <w:t>During this initial phase, the Vendor will perform a comprehensive assessment of the Client’s infrastructure and application landscape. This includes analyzing existing workloads, identifying dependencies, and determining the most appropriate migration strategy for each workload.</w:t>
      </w:r>
    </w:p>
    <w:p>
      <w:pPr>
        <w:spacing w:after="160"/>
      </w:pPr>
      <w:r>
        <w:rPr>
          <w:rFonts w:ascii="Times New Roman" w:hAnsi="Times New Roman"/>
          <w:sz w:val="24"/>
        </w:rPr>
        <w:t>Key activities:</w:t>
      </w:r>
    </w:p>
    <w:p>
      <w:pPr>
        <w:spacing w:after="80"/>
        <w:ind w:left="720" w:hanging="360"/>
      </w:pPr>
      <w:r>
        <w:rPr>
          <w:rFonts w:ascii="Times New Roman" w:hAnsi="Times New Roman"/>
          <w:sz w:val="24"/>
        </w:rPr>
        <w:t xml:space="preserve">• </w:t>
      </w:r>
      <w:r>
        <w:rPr>
          <w:rFonts w:ascii="Times New Roman" w:hAnsi="Times New Roman"/>
          <w:sz w:val="24"/>
        </w:rPr>
        <w:t>Comprehensive infrastructure discovery and inventory</w:t>
      </w:r>
    </w:p>
    <w:p>
      <w:pPr>
        <w:spacing w:after="80"/>
        <w:ind w:left="720" w:hanging="360"/>
      </w:pPr>
      <w:r>
        <w:rPr>
          <w:rFonts w:ascii="Times New Roman" w:hAnsi="Times New Roman"/>
          <w:sz w:val="24"/>
        </w:rPr>
        <w:t xml:space="preserve">• </w:t>
      </w:r>
      <w:r>
        <w:rPr>
          <w:rFonts w:ascii="Times New Roman" w:hAnsi="Times New Roman"/>
          <w:sz w:val="24"/>
        </w:rPr>
        <w:t>Application portfolio analysis and dependency mapping</w:t>
      </w:r>
    </w:p>
    <w:p>
      <w:pPr>
        <w:spacing w:after="80"/>
        <w:ind w:left="720" w:hanging="360"/>
      </w:pPr>
      <w:r>
        <w:rPr>
          <w:rFonts w:ascii="Times New Roman" w:hAnsi="Times New Roman"/>
          <w:sz w:val="24"/>
        </w:rPr>
        <w:t xml:space="preserve">• </w:t>
      </w:r>
      <w:r>
        <w:rPr>
          <w:rFonts w:ascii="Times New Roman" w:hAnsi="Times New Roman"/>
          <w:sz w:val="24"/>
        </w:rPr>
        <w:t>Migration readiness assessment using AWS MAP framework</w:t>
      </w:r>
    </w:p>
    <w:p>
      <w:pPr>
        <w:spacing w:after="80"/>
        <w:ind w:left="720" w:hanging="360"/>
      </w:pPr>
      <w:r>
        <w:rPr>
          <w:rFonts w:ascii="Times New Roman" w:hAnsi="Times New Roman"/>
          <w:sz w:val="24"/>
        </w:rPr>
        <w:t xml:space="preserve">• </w:t>
      </w:r>
      <w:r>
        <w:rPr>
          <w:rFonts w:ascii="Times New Roman" w:hAnsi="Times New Roman"/>
          <w:sz w:val="24"/>
        </w:rPr>
        <w:t>AWS architecture design and landing zone planning</w:t>
      </w:r>
    </w:p>
    <w:p>
      <w:pPr>
        <w:spacing w:after="80"/>
        <w:ind w:left="720" w:hanging="360"/>
      </w:pPr>
      <w:r>
        <w:rPr>
          <w:rFonts w:ascii="Times New Roman" w:hAnsi="Times New Roman"/>
          <w:sz w:val="24"/>
        </w:rPr>
        <w:t xml:space="preserve">• </w:t>
      </w:r>
      <w:r>
        <w:rPr>
          <w:rFonts w:ascii="Times New Roman" w:hAnsi="Times New Roman"/>
          <w:sz w:val="24"/>
        </w:rPr>
        <w:t>Migration wave planning and prioritization</w:t>
      </w:r>
    </w:p>
    <w:p>
      <w:pPr>
        <w:spacing w:after="80"/>
        <w:ind w:left="720" w:hanging="360"/>
      </w:pPr>
      <w:r>
        <w:rPr>
          <w:rFonts w:ascii="Times New Roman" w:hAnsi="Times New Roman"/>
          <w:sz w:val="24"/>
        </w:rPr>
        <w:t xml:space="preserve">• </w:t>
      </w:r>
      <w:r>
        <w:rPr>
          <w:rFonts w:ascii="Times New Roman" w:hAnsi="Times New Roman"/>
          <w:sz w:val="24"/>
        </w:rPr>
        <w:t>Cost estimation and right-sizing recommendations</w:t>
      </w:r>
    </w:p>
    <w:p>
      <w:pPr>
        <w:spacing w:after="160"/>
      </w:pPr>
      <w:r>
        <w:rPr>
          <w:rFonts w:ascii="Times New Roman" w:hAnsi="Times New Roman"/>
          <w:sz w:val="24"/>
        </w:rPr>
        <w:t>This phase concludes with a Migration Assessment Report that outlines the proposed plan, scope, risks, and timeline.</w:t>
      </w:r>
    </w:p>
    <w:p>
      <w:pPr>
        <w:pStyle w:val="Heading4"/>
        <w:spacing w:before="160" w:after="120"/>
        <w:ind w:left="0" w:firstLine="0"/>
      </w:pPr>
      <w:r>
        <w:t>3.2.2 Phase 2 – Landing Zone &amp; Infrastructure Deployment</w:t>
      </w:r>
    </w:p>
    <w:p>
      <w:pPr>
        <w:spacing w:after="160"/>
      </w:pPr>
      <w:r>
        <w:rPr>
          <w:rFonts w:ascii="Times New Roman" w:hAnsi="Times New Roman"/>
          <w:sz w:val="24"/>
        </w:rPr>
        <w:t>In this phase, the foundational AWS infrastructure is provisioned and configured based on AWS best practices. This includes account structure, network setup, security controls, monitoring, and access management.</w:t>
      </w:r>
    </w:p>
    <w:p>
      <w:pPr>
        <w:spacing w:after="160"/>
      </w:pPr>
      <w:r>
        <w:rPr>
          <w:rFonts w:ascii="Times New Roman" w:hAnsi="Times New Roman"/>
          <w:sz w:val="24"/>
        </w:rPr>
        <w:t>Key activities:</w:t>
      </w:r>
    </w:p>
    <w:p>
      <w:pPr>
        <w:spacing w:after="80"/>
        <w:ind w:left="720" w:hanging="360"/>
      </w:pPr>
      <w:r>
        <w:rPr>
          <w:rFonts w:ascii="Times New Roman" w:hAnsi="Times New Roman"/>
          <w:sz w:val="24"/>
        </w:rPr>
        <w:t xml:space="preserve">• </w:t>
      </w:r>
      <w:r>
        <w:rPr>
          <w:rFonts w:ascii="Times New Roman" w:hAnsi="Times New Roman"/>
          <w:sz w:val="24"/>
        </w:rPr>
        <w:t>AWS Landing Zone implementation with account provisioning</w:t>
      </w:r>
    </w:p>
    <w:p>
      <w:pPr>
        <w:spacing w:after="80"/>
        <w:ind w:left="720" w:hanging="360"/>
      </w:pPr>
      <w:r>
        <w:rPr>
          <w:rFonts w:ascii="Times New Roman" w:hAnsi="Times New Roman"/>
          <w:sz w:val="24"/>
        </w:rPr>
        <w:t xml:space="preserve">• </w:t>
      </w:r>
      <w:r>
        <w:rPr>
          <w:rFonts w:ascii="Times New Roman" w:hAnsi="Times New Roman"/>
          <w:sz w:val="24"/>
        </w:rPr>
        <w:t>Network connectivity setup using VPN or Direct Connect</w:t>
      </w:r>
    </w:p>
    <w:p>
      <w:pPr>
        <w:spacing w:after="80"/>
        <w:ind w:left="720" w:hanging="360"/>
      </w:pPr>
      <w:r>
        <w:rPr>
          <w:rFonts w:ascii="Times New Roman" w:hAnsi="Times New Roman"/>
          <w:sz w:val="24"/>
        </w:rPr>
        <w:t xml:space="preserve">• </w:t>
      </w:r>
      <w:r>
        <w:rPr>
          <w:rFonts w:ascii="Times New Roman" w:hAnsi="Times New Roman"/>
          <w:sz w:val="24"/>
        </w:rPr>
        <w:t>Centralized logging and monitoring via CloudWatch, CloudTrail, and security services</w:t>
      </w:r>
    </w:p>
    <w:p>
      <w:pPr>
        <w:spacing w:after="80"/>
        <w:ind w:left="720" w:hanging="360"/>
      </w:pPr>
      <w:r>
        <w:rPr>
          <w:rFonts w:ascii="Times New Roman" w:hAnsi="Times New Roman"/>
          <w:sz w:val="24"/>
        </w:rPr>
        <w:t xml:space="preserve">• </w:t>
      </w:r>
      <w:r>
        <w:rPr>
          <w:rFonts w:ascii="Times New Roman" w:hAnsi="Times New Roman"/>
          <w:sz w:val="24"/>
        </w:rPr>
        <w:t>IAM roles, SSO, MFA policies based on least-privilege model</w:t>
      </w:r>
    </w:p>
    <w:p>
      <w:pPr>
        <w:spacing w:after="80"/>
        <w:ind w:left="720" w:hanging="360"/>
      </w:pPr>
      <w:r>
        <w:rPr>
          <w:rFonts w:ascii="Times New Roman" w:hAnsi="Times New Roman"/>
          <w:sz w:val="24"/>
        </w:rPr>
        <w:t xml:space="preserve">• </w:t>
      </w:r>
      <w:r>
        <w:rPr>
          <w:rFonts w:ascii="Times New Roman" w:hAnsi="Times New Roman"/>
          <w:sz w:val="24"/>
        </w:rPr>
        <w:t>Baseline security configuration using AWS Config, GuardDuty, and SCPs</w:t>
      </w:r>
    </w:p>
    <w:p>
      <w:pPr>
        <w:spacing w:after="80"/>
        <w:ind w:left="720" w:hanging="360"/>
      </w:pPr>
      <w:r>
        <w:rPr>
          <w:rFonts w:ascii="Times New Roman" w:hAnsi="Times New Roman"/>
          <w:sz w:val="24"/>
        </w:rPr>
        <w:t xml:space="preserve">• </w:t>
      </w:r>
      <w:r>
        <w:rPr>
          <w:rFonts w:ascii="Times New Roman" w:hAnsi="Times New Roman"/>
          <w:sz w:val="24"/>
        </w:rPr>
        <w:t>Implementation of automated backup strategies and disaster recovery setup</w:t>
      </w:r>
    </w:p>
    <w:p>
      <w:pPr>
        <w:spacing w:after="160"/>
      </w:pPr>
      <w:r>
        <w:rPr>
          <w:rFonts w:ascii="Times New Roman" w:hAnsi="Times New Roman"/>
          <w:sz w:val="24"/>
        </w:rPr>
        <w:t>By the end of this phase, the Client will have a secure, production-ready AWS environment for hosting migrated workloads.</w:t>
      </w:r>
    </w:p>
    <w:p>
      <w:pPr>
        <w:pStyle w:val="Heading4"/>
        <w:spacing w:before="160" w:after="120"/>
        <w:ind w:left="0" w:firstLine="0"/>
      </w:pPr>
      <w:r>
        <w:t>3.2.3 Phase 3 – Migration Execution (in waves)</w:t>
      </w:r>
    </w:p>
    <w:p>
      <w:pPr>
        <w:spacing w:after="160"/>
      </w:pPr>
      <w:r>
        <w:rPr>
          <w:rFonts w:ascii="Times New Roman" w:hAnsi="Times New Roman"/>
          <w:sz w:val="24"/>
        </w:rPr>
        <w:t>Migration of workloads will occur in well-defined waves based on business priority and workload complexity. Each wave follows a repeatable factory approach with automated processes for consistency and risk reduction.</w:t>
      </w:r>
    </w:p>
    <w:p>
      <w:pPr>
        <w:spacing w:after="160"/>
      </w:pPr>
      <w:r>
        <w:rPr>
          <w:rFonts w:ascii="Times New Roman" w:hAnsi="Times New Roman"/>
          <w:sz w:val="24"/>
        </w:rPr>
        <w:t>Key activities:</w:t>
      </w:r>
    </w:p>
    <w:p>
      <w:pPr>
        <w:spacing w:after="80"/>
        <w:ind w:left="720" w:hanging="360"/>
      </w:pPr>
      <w:r>
        <w:rPr>
          <w:rFonts w:ascii="Times New Roman" w:hAnsi="Times New Roman"/>
          <w:sz w:val="24"/>
        </w:rPr>
        <w:t xml:space="preserve">• </w:t>
      </w:r>
      <w:r>
        <w:rPr>
          <w:rFonts w:ascii="Times New Roman" w:hAnsi="Times New Roman"/>
          <w:sz w:val="24"/>
        </w:rPr>
        <w:t>Migration factory setup with CI/CD and automation tooling</w:t>
      </w:r>
    </w:p>
    <w:p>
      <w:pPr>
        <w:spacing w:after="80"/>
        <w:ind w:left="720" w:hanging="360"/>
      </w:pPr>
      <w:r>
        <w:rPr>
          <w:rFonts w:ascii="Times New Roman" w:hAnsi="Times New Roman"/>
          <w:sz w:val="24"/>
        </w:rPr>
        <w:t xml:space="preserve">• </w:t>
      </w:r>
      <w:r>
        <w:rPr>
          <w:rFonts w:ascii="Times New Roman" w:hAnsi="Times New Roman"/>
          <w:sz w:val="24"/>
        </w:rPr>
        <w:t>Database migrations using AWS DMS or native tools (e.g., RMAN, SQL)</w:t>
      </w:r>
    </w:p>
    <w:p>
      <w:pPr>
        <w:spacing w:after="80"/>
        <w:ind w:left="720" w:hanging="360"/>
      </w:pPr>
      <w:r>
        <w:rPr>
          <w:rFonts w:ascii="Times New Roman" w:hAnsi="Times New Roman"/>
          <w:sz w:val="24"/>
        </w:rPr>
        <w:t xml:space="preserve">• </w:t>
      </w:r>
      <w:r>
        <w:rPr>
          <w:rFonts w:ascii="Times New Roman" w:hAnsi="Times New Roman"/>
          <w:sz w:val="24"/>
        </w:rPr>
        <w:t>Application migration via rehost, replatform, or refactor strategies</w:t>
      </w:r>
    </w:p>
    <w:p>
      <w:pPr>
        <w:spacing w:after="80"/>
        <w:ind w:left="720" w:hanging="360"/>
      </w:pPr>
      <w:r>
        <w:rPr>
          <w:rFonts w:ascii="Times New Roman" w:hAnsi="Times New Roman"/>
          <w:sz w:val="24"/>
        </w:rPr>
        <w:t xml:space="preserve">• </w:t>
      </w:r>
      <w:r>
        <w:rPr>
          <w:rFonts w:ascii="Times New Roman" w:hAnsi="Times New Roman"/>
          <w:sz w:val="24"/>
        </w:rPr>
        <w:t>Incremental or real-time data sync between source and target systems</w:t>
      </w:r>
    </w:p>
    <w:p>
      <w:pPr>
        <w:spacing w:after="80"/>
        <w:ind w:left="720" w:hanging="360"/>
      </w:pPr>
      <w:r>
        <w:rPr>
          <w:rFonts w:ascii="Times New Roman" w:hAnsi="Times New Roman"/>
          <w:sz w:val="24"/>
        </w:rPr>
        <w:t xml:space="preserve">• </w:t>
      </w:r>
      <w:r>
        <w:rPr>
          <w:rFonts w:ascii="Times New Roman" w:hAnsi="Times New Roman"/>
          <w:sz w:val="24"/>
        </w:rPr>
        <w:t>DNS updates, endpoint reconfiguration</w:t>
      </w:r>
    </w:p>
    <w:p>
      <w:pPr>
        <w:spacing w:after="80"/>
        <w:ind w:left="720" w:hanging="360"/>
      </w:pPr>
      <w:r>
        <w:rPr>
          <w:rFonts w:ascii="Times New Roman" w:hAnsi="Times New Roman"/>
          <w:sz w:val="24"/>
        </w:rPr>
        <w:t xml:space="preserve">• </w:t>
      </w:r>
      <w:r>
        <w:rPr>
          <w:rFonts w:ascii="Times New Roman" w:hAnsi="Times New Roman"/>
          <w:sz w:val="24"/>
        </w:rPr>
        <w:t>Resource right-sizing and performance optimization</w:t>
      </w:r>
    </w:p>
    <w:p>
      <w:pPr>
        <w:spacing w:after="160"/>
      </w:pPr>
      <w:r>
        <w:rPr>
          <w:rFonts w:ascii="Times New Roman" w:hAnsi="Times New Roman"/>
          <w:sz w:val="24"/>
        </w:rPr>
        <w:t>After each wave, the Vendor will coordinate validation and sign-off with the Client before proceeding.</w:t>
      </w:r>
    </w:p>
    <w:p>
      <w:pPr>
        <w:pStyle w:val="Heading4"/>
        <w:spacing w:before="160" w:after="120"/>
        <w:ind w:left="0" w:firstLine="0"/>
      </w:pPr>
      <w:r>
        <w:t>3.2.4 Phase 4 – Testing &amp; Cutover</w:t>
      </w:r>
    </w:p>
    <w:p>
      <w:pPr>
        <w:spacing w:after="160"/>
      </w:pPr>
      <w:r>
        <w:rPr>
          <w:rFonts w:ascii="Times New Roman" w:hAnsi="Times New Roman"/>
          <w:sz w:val="24"/>
        </w:rPr>
        <w:t>In the Testing and Cutover phase, migrated workloads undergo thorough functional, performance, and failover validation to ensure they meet required SLAs and compliance standards. Test cases and scripts will be executed based on Client-defined acceptance criteria.</w:t>
      </w:r>
    </w:p>
    <w:p>
      <w:pPr>
        <w:spacing w:after="160"/>
      </w:pPr>
      <w:r>
        <w:rPr>
          <w:rFonts w:ascii="Times New Roman" w:hAnsi="Times New Roman"/>
          <w:sz w:val="24"/>
        </w:rPr>
        <w:t>Key activities:</w:t>
      </w:r>
    </w:p>
    <w:p>
      <w:pPr>
        <w:spacing w:after="80"/>
        <w:ind w:left="720" w:hanging="360"/>
      </w:pPr>
      <w:r>
        <w:rPr>
          <w:rFonts w:ascii="Times New Roman" w:hAnsi="Times New Roman"/>
          <w:sz w:val="24"/>
        </w:rPr>
        <w:t xml:space="preserve">• </w:t>
      </w:r>
      <w:r>
        <w:rPr>
          <w:rFonts w:ascii="Times New Roman" w:hAnsi="Times New Roman"/>
          <w:sz w:val="24"/>
        </w:rPr>
        <w:t>Smoke testing and sanity checks for each migrated workload</w:t>
      </w:r>
    </w:p>
    <w:p>
      <w:pPr>
        <w:spacing w:after="80"/>
        <w:ind w:left="720" w:hanging="360"/>
      </w:pPr>
      <w:r>
        <w:rPr>
          <w:rFonts w:ascii="Times New Roman" w:hAnsi="Times New Roman"/>
          <w:sz w:val="24"/>
        </w:rPr>
        <w:t xml:space="preserve">• </w:t>
      </w:r>
      <w:r>
        <w:rPr>
          <w:rFonts w:ascii="Times New Roman" w:hAnsi="Times New Roman"/>
          <w:sz w:val="24"/>
        </w:rPr>
        <w:t>Performance benchmarking vs. on-premise baselines</w:t>
      </w:r>
    </w:p>
    <w:p>
      <w:pPr>
        <w:spacing w:after="80"/>
        <w:ind w:left="720" w:hanging="360"/>
      </w:pPr>
      <w:r>
        <w:rPr>
          <w:rFonts w:ascii="Times New Roman" w:hAnsi="Times New Roman"/>
          <w:sz w:val="24"/>
        </w:rPr>
        <w:t xml:space="preserve">• </w:t>
      </w:r>
      <w:r>
        <w:rPr>
          <w:rFonts w:ascii="Times New Roman" w:hAnsi="Times New Roman"/>
          <w:sz w:val="24"/>
        </w:rPr>
        <w:t>Failover and resiliency testing (Multi-AZ, DR)</w:t>
      </w:r>
    </w:p>
    <w:p>
      <w:pPr>
        <w:spacing w:after="80"/>
        <w:ind w:left="720" w:hanging="360"/>
      </w:pPr>
      <w:r>
        <w:rPr>
          <w:rFonts w:ascii="Times New Roman" w:hAnsi="Times New Roman"/>
          <w:sz w:val="24"/>
        </w:rPr>
        <w:t xml:space="preserve">• </w:t>
      </w:r>
      <w:r>
        <w:rPr>
          <w:rFonts w:ascii="Times New Roman" w:hAnsi="Times New Roman"/>
          <w:sz w:val="24"/>
        </w:rPr>
        <w:t>Final synchronization of data (if using DMS)</w:t>
      </w:r>
    </w:p>
    <w:p>
      <w:pPr>
        <w:spacing w:after="80"/>
        <w:ind w:left="720" w:hanging="360"/>
      </w:pPr>
      <w:r>
        <w:rPr>
          <w:rFonts w:ascii="Times New Roman" w:hAnsi="Times New Roman"/>
          <w:sz w:val="24"/>
        </w:rPr>
        <w:t xml:space="preserve">• </w:t>
      </w:r>
      <w:r>
        <w:rPr>
          <w:rFonts w:ascii="Times New Roman" w:hAnsi="Times New Roman"/>
          <w:sz w:val="24"/>
        </w:rPr>
        <w:t>DNS cutover, user acceptance testing (UAT), and go-live readiness review</w:t>
      </w:r>
    </w:p>
    <w:p>
      <w:pPr>
        <w:spacing w:after="160"/>
      </w:pPr>
      <w:r>
        <w:rPr>
          <w:rFonts w:ascii="Times New Roman" w:hAnsi="Times New Roman"/>
          <w:sz w:val="24"/>
        </w:rPr>
        <w:t>Cutover will be coordinated with all relevant stakeholders and executed during an approved maintenance window, with well-documented rollback procedures in place.</w:t>
      </w:r>
    </w:p>
    <w:p>
      <w:pPr>
        <w:pStyle w:val="Heading4"/>
        <w:spacing w:before="160" w:after="120"/>
        <w:ind w:left="0" w:firstLine="0"/>
      </w:pPr>
      <w:r>
        <w:t>3.2.5 Phase 5 – Handover &amp; Post-Migration Support</w:t>
      </w:r>
    </w:p>
    <w:p>
      <w:pPr>
        <w:spacing w:after="160"/>
      </w:pPr>
      <w:r>
        <w:rPr>
          <w:rFonts w:ascii="Times New Roman" w:hAnsi="Times New Roman"/>
          <w:sz w:val="24"/>
        </w:rPr>
        <w:t>Following successful migration and cutover, the focus shifts to ensuring operational continuity and knowledge transfer. The Vendor will provide a period of hypercare support and equip the Client’s team with the documentation, tools, and processes needed for ongoing maintenance and optimization.</w:t>
      </w:r>
    </w:p>
    <w:p>
      <w:pPr>
        <w:spacing w:after="160"/>
      </w:pPr>
      <w:r>
        <w:rPr>
          <w:rFonts w:ascii="Times New Roman" w:hAnsi="Times New Roman"/>
          <w:sz w:val="24"/>
        </w:rPr>
        <w:t>Activities include:</w:t>
      </w:r>
    </w:p>
    <w:p>
      <w:pPr>
        <w:spacing w:after="80"/>
        <w:ind w:left="720" w:hanging="360"/>
      </w:pPr>
      <w:r>
        <w:rPr>
          <w:rFonts w:ascii="Times New Roman" w:hAnsi="Times New Roman"/>
          <w:sz w:val="24"/>
        </w:rPr>
        <w:t xml:space="preserve">• </w:t>
      </w:r>
      <w:r>
        <w:rPr>
          <w:rFonts w:ascii="Times New Roman" w:hAnsi="Times New Roman"/>
          <w:sz w:val="24"/>
        </w:rPr>
        <w:t>Delivery of as-built documentation (including architecture diagrams, IAM permissions, monitoring setup, etc.)</w:t>
      </w:r>
    </w:p>
    <w:p>
      <w:pPr>
        <w:spacing w:after="80"/>
        <w:ind w:left="720" w:hanging="360"/>
      </w:pPr>
      <w:r>
        <w:rPr>
          <w:rFonts w:ascii="Times New Roman" w:hAnsi="Times New Roman"/>
          <w:sz w:val="24"/>
        </w:rPr>
        <w:t xml:space="preserve">• </w:t>
      </w:r>
      <w:r>
        <w:rPr>
          <w:rFonts w:ascii="Times New Roman" w:hAnsi="Times New Roman"/>
          <w:sz w:val="24"/>
        </w:rPr>
        <w:t>Runbook and SOPs for day-to-day operations</w:t>
      </w:r>
    </w:p>
    <w:p>
      <w:pPr>
        <w:spacing w:after="80"/>
        <w:ind w:left="720" w:hanging="360"/>
      </w:pPr>
      <w:r>
        <w:rPr>
          <w:rFonts w:ascii="Times New Roman" w:hAnsi="Times New Roman"/>
          <w:sz w:val="24"/>
        </w:rPr>
        <w:t xml:space="preserve">• </w:t>
      </w:r>
      <w:r>
        <w:rPr>
          <w:rFonts w:ascii="Times New Roman" w:hAnsi="Times New Roman"/>
          <w:sz w:val="24"/>
        </w:rPr>
        <w:t>Live or recorded knowledge transfer sessions for Ops and Application teams</w:t>
      </w:r>
    </w:p>
    <w:p>
      <w:pPr>
        <w:spacing w:after="80"/>
        <w:ind w:left="720" w:hanging="360"/>
      </w:pPr>
      <w:r>
        <w:rPr>
          <w:rFonts w:ascii="Times New Roman" w:hAnsi="Times New Roman"/>
          <w:sz w:val="24"/>
        </w:rPr>
        <w:t xml:space="preserve">• </w:t>
      </w:r>
      <w:r>
        <w:rPr>
          <w:rFonts w:ascii="Times New Roman" w:hAnsi="Times New Roman"/>
          <w:sz w:val="24"/>
        </w:rPr>
        <w:t>Cost optimization recommendations (based on AWS Trusted Advisor and Cost Explorer)</w:t>
      </w:r>
    </w:p>
    <w:p>
      <w:pPr>
        <w:spacing w:after="80"/>
        <w:ind w:left="720" w:hanging="360"/>
      </w:pPr>
      <w:r>
        <w:rPr>
          <w:rFonts w:ascii="Times New Roman" w:hAnsi="Times New Roman"/>
          <w:sz w:val="24"/>
        </w:rPr>
        <w:t xml:space="preserve">• </w:t>
      </w:r>
      <w:r>
        <w:rPr>
          <w:rFonts w:ascii="Times New Roman" w:hAnsi="Times New Roman"/>
          <w:sz w:val="24"/>
        </w:rPr>
        <w:t>Optional transition to a managed services model for 24/7 support, if contracted</w:t>
      </w:r>
    </w:p>
    <w:p>
      <w:pPr>
        <w:pStyle w:val="Heading2"/>
        <w:spacing w:before="240" w:after="120"/>
        <w:ind w:left="0" w:firstLine="0"/>
      </w:pPr>
      <w:r>
        <w:t>4 Out of Scope</w:t>
      </w:r>
    </w:p>
    <w:p>
      <w:pPr>
        <w:pStyle w:val="Heading3"/>
        <w:spacing w:before="160" w:after="120"/>
        <w:ind w:left="0" w:firstLine="0"/>
      </w:pPr>
      <w:r>
        <w:t>4.1 Exclusions</w:t>
      </w:r>
    </w:p>
    <w:p>
      <w:pPr>
        <w:spacing w:after="160"/>
      </w:pPr>
      <w:r>
        <w:rPr>
          <w:rFonts w:ascii="Times New Roman" w:hAnsi="Times New Roman"/>
          <w:sz w:val="24"/>
        </w:rPr>
        <w:t>These items are not in scope unless added via change control:</w:t>
      </w:r>
    </w:p>
    <w:p>
      <w:pPr>
        <w:spacing w:after="80"/>
        <w:ind w:left="720" w:hanging="360"/>
      </w:pPr>
      <w:r>
        <w:rPr>
          <w:rFonts w:ascii="Times New Roman" w:hAnsi="Times New Roman"/>
          <w:sz w:val="24"/>
        </w:rPr>
        <w:t xml:space="preserve">• </w:t>
      </w:r>
      <w:r>
        <w:rPr>
          <w:rFonts w:ascii="Times New Roman" w:hAnsi="Times New Roman"/>
          <w:sz w:val="24"/>
        </w:rPr>
        <w:t>Application refactoring (code-level changes)</w:t>
      </w:r>
    </w:p>
    <w:p>
      <w:pPr>
        <w:spacing w:after="80"/>
        <w:ind w:left="720" w:hanging="360"/>
      </w:pPr>
      <w:r>
        <w:rPr>
          <w:rFonts w:ascii="Times New Roman" w:hAnsi="Times New Roman"/>
          <w:sz w:val="24"/>
        </w:rPr>
        <w:t xml:space="preserve">• </w:t>
      </w:r>
      <w:r>
        <w:rPr>
          <w:rFonts w:ascii="Times New Roman" w:hAnsi="Times New Roman"/>
          <w:sz w:val="24"/>
        </w:rPr>
        <w:t>On-prem hardware recycling or disposal</w:t>
      </w:r>
    </w:p>
    <w:p>
      <w:pPr>
        <w:spacing w:after="80"/>
        <w:ind w:left="720" w:hanging="360"/>
      </w:pPr>
      <w:r>
        <w:rPr>
          <w:rFonts w:ascii="Times New Roman" w:hAnsi="Times New Roman"/>
          <w:sz w:val="24"/>
        </w:rPr>
        <w:t xml:space="preserve">• </w:t>
      </w:r>
      <w:r>
        <w:rPr>
          <w:rFonts w:ascii="Times New Roman" w:hAnsi="Times New Roman"/>
          <w:sz w:val="24"/>
        </w:rPr>
        <w:t>Managed services post-migration (unless separately contracted)</w:t>
      </w:r>
    </w:p>
    <w:p>
      <w:pPr>
        <w:spacing w:after="80"/>
        <w:ind w:left="720" w:hanging="360"/>
      </w:pPr>
      <w:r>
        <w:rPr>
          <w:rFonts w:ascii="Times New Roman" w:hAnsi="Times New Roman"/>
          <w:sz w:val="24"/>
        </w:rPr>
        <w:t xml:space="preserve">• </w:t>
      </w:r>
      <w:r>
        <w:rPr>
          <w:rFonts w:ascii="Times New Roman" w:hAnsi="Times New Roman"/>
          <w:sz w:val="24"/>
        </w:rPr>
        <w:t>Training for non-IT end users</w:t>
      </w:r>
    </w:p>
    <w:p>
      <w:pPr>
        <w:pStyle w:val="Heading2"/>
        <w:spacing w:before="240" w:after="120"/>
        <w:ind w:left="0" w:firstLine="0"/>
      </w:pPr>
      <w:r>
        <w:t>5 Deliverables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74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Deliverable</w:t>
            </w:r>
          </w:p>
        </w:tc>
        <w:tc>
          <w:tcPr>
            <w:tcW w:type="dxa" w:w="193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Type</w:t>
            </w:r>
          </w:p>
        </w:tc>
        <w:tc>
          <w:tcPr>
            <w:tcW w:type="dxa" w:w="121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Due Date</w:t>
            </w:r>
          </w:p>
        </w:tc>
        <w:tc>
          <w:tcPr>
            <w:tcW w:type="dxa" w:w="219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Acceptance By</w:t>
            </w:r>
          </w:p>
        </w:tc>
      </w:tr>
      <w:tr>
        <w:tc>
          <w:tcPr>
            <w:tcW w:type="dxa" w:w="74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1</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Migration Assessment Report</w:t>
            </w:r>
          </w:p>
        </w:tc>
        <w:tc>
          <w:tcPr>
            <w:tcW w:type="dxa" w:w="193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Document</w:t>
            </w:r>
          </w:p>
        </w:tc>
        <w:tc>
          <w:tcPr>
            <w:tcW w:type="dxa" w:w="121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219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[Client Lead]</w:t>
            </w:r>
          </w:p>
        </w:tc>
      </w:tr>
      <w:tr>
        <w:tc>
          <w:tcPr>
            <w:tcW w:type="dxa" w:w="74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2</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AWS Landing Zone Source Code</w:t>
            </w:r>
          </w:p>
        </w:tc>
        <w:tc>
          <w:tcPr>
            <w:tcW w:type="dxa" w:w="193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IaC/Code</w:t>
            </w:r>
          </w:p>
        </w:tc>
        <w:tc>
          <w:tcPr>
            <w:tcW w:type="dxa" w:w="121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219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[AWS Architect]</w:t>
            </w:r>
          </w:p>
        </w:tc>
      </w:tr>
      <w:tr>
        <w:tc>
          <w:tcPr>
            <w:tcW w:type="dxa" w:w="74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3</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Migration Runbook &amp; Cutover Plan</w:t>
            </w:r>
          </w:p>
        </w:tc>
        <w:tc>
          <w:tcPr>
            <w:tcW w:type="dxa" w:w="193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Document</w:t>
            </w:r>
          </w:p>
        </w:tc>
        <w:tc>
          <w:tcPr>
            <w:tcW w:type="dxa" w:w="121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219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[Ops Lead]</w:t>
            </w:r>
          </w:p>
        </w:tc>
      </w:tr>
      <w:tr>
        <w:tc>
          <w:tcPr>
            <w:tcW w:type="dxa" w:w="74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4</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As-Built Diagrams &amp; Documentation</w:t>
            </w:r>
          </w:p>
        </w:tc>
        <w:tc>
          <w:tcPr>
            <w:tcW w:type="dxa" w:w="193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Document</w:t>
            </w:r>
          </w:p>
        </w:tc>
        <w:tc>
          <w:tcPr>
            <w:tcW w:type="dxa" w:w="121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219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[Client Lead]</w:t>
            </w:r>
          </w:p>
        </w:tc>
      </w:tr>
      <w:tr>
        <w:tc>
          <w:tcPr>
            <w:tcW w:type="dxa" w:w="74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5</w:t>
            </w:r>
          </w:p>
        </w:tc>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Knowledge Transfer Sessions</w:t>
            </w:r>
          </w:p>
        </w:tc>
        <w:tc>
          <w:tcPr>
            <w:tcW w:type="dxa" w:w="193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Live/Recorded</w:t>
            </w:r>
          </w:p>
        </w:tc>
        <w:tc>
          <w:tcPr>
            <w:tcW w:type="dxa" w:w="1211"/>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c>
          <w:tcPr>
            <w:tcW w:type="dxa" w:w="2192"/>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[Client Team]</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1</w:t>
      </w:r>
      <w:r>
        <w:fldChar w:fldCharType="end"/>
      </w:r>
      <w:r>
        <w:rPr>
          <w:rFonts w:ascii="Times New Roman" w:hAnsi="Times New Roman"/>
          <w:sz w:val="24"/>
        </w:rPr>
        <w:t>: Project Deliverables and Acceptance Criteria</w:t>
      </w:r>
    </w:p>
    <w:p>
      <w:pPr>
        <w:pStyle w:val="Heading2"/>
        <w:spacing w:before="240" w:after="120"/>
        <w:ind w:left="0" w:firstLine="0"/>
      </w:pPr>
      <w:r>
        <w:t>6 Project Plan &amp; Timeline</w:t>
      </w:r>
    </w:p>
    <w:p>
      <w:pPr>
        <w:pStyle w:val="Heading3"/>
        <w:spacing w:before="160" w:after="120"/>
        <w:ind w:left="0" w:firstLine="0"/>
      </w:pPr>
      <w:r>
        <w:t>6.1 Milestones</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Milestone</w:t>
            </w:r>
          </w:p>
        </w:tc>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Target Date</w:t>
            </w:r>
          </w:p>
        </w:tc>
      </w:tr>
      <w:tr>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M1: Assessment Complete</w:t>
            </w:r>
          </w:p>
        </w:tc>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r>
      <w:tr>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M2: Landing Zone Ready</w:t>
            </w:r>
          </w:p>
        </w:tc>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r>
      <w:tr>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M3: Wave 1 App Migration</w:t>
            </w:r>
          </w:p>
        </w:tc>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r>
      <w:tr>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Go-Live</w:t>
            </w:r>
          </w:p>
        </w:tc>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r>
      <w:tr>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Hypercare End</w:t>
            </w:r>
          </w:p>
        </w:tc>
        <w:tc>
          <w:tcPr>
            <w:tcW w:type="dxa" w:w="468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[Date]</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2</w:t>
      </w:r>
      <w:r>
        <w:fldChar w:fldCharType="end"/>
      </w:r>
      <w:r>
        <w:rPr>
          <w:rFonts w:ascii="Times New Roman" w:hAnsi="Times New Roman"/>
          <w:sz w:val="24"/>
        </w:rPr>
        <w:t>: Project Milestones and Timeline</w:t>
      </w:r>
    </w:p>
    <w:p>
      <w:pPr>
        <w:pStyle w:val="Heading2"/>
        <w:spacing w:before="240" w:after="120"/>
        <w:ind w:left="0" w:firstLine="0"/>
      </w:pPr>
      <w:r>
        <w:t>7 Roles &amp; Responsibilities (RACI)</w:t>
      </w:r>
    </w:p>
    <w:tbl>
      <w:tblPr>
        <w:tblStyle w:val="TableGrid"/>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Task/Role</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Vendor PM</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Vendor Arch</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Vendor DevOps</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Client IT</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Client Sec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AWS SA</w:t>
            </w:r>
          </w:p>
        </w:tc>
      </w:tr>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Discovery &amp; Dependency Mapping</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r>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AWS Account &amp; Landing Zone</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r>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Network Setup (VPC, Routing)</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r>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Migration Wave Design</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r>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Database Migration</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r>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Application Cutover Execution</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r>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IAM &amp; Security Configuration</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r>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Monitoring Configuration (CW, X-Ray)</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r>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Hypercare Post-Migration Support</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r>
      <w:tr>
        <w:tc>
          <w:tcPr>
            <w:tcW w:type="dxa" w:w="1939"/>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Knowledge Transfer</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w:t>
            </w:r>
          </w:p>
        </w:tc>
        <w:tc>
          <w:tcPr>
            <w:tcW w:type="dxa" w:w="11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c>
          <w:tcPr>
            <w:tcW w:type="dxa" w:w="1337"/>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3</w:t>
      </w:r>
      <w:r>
        <w:fldChar w:fldCharType="end"/>
      </w:r>
      <w:r>
        <w:rPr>
          <w:rFonts w:ascii="Times New Roman" w:hAnsi="Times New Roman"/>
          <w:sz w:val="24"/>
        </w:rPr>
        <w:t>: Roles and Responsibilities (RACI Matrix)</w:t>
      </w:r>
    </w:p>
    <w:p>
      <w:pPr>
        <w:spacing w:after="160"/>
      </w:pPr>
      <w:r>
        <w:rPr>
          <w:rFonts w:ascii="Times New Roman" w:hAnsi="Times New Roman"/>
          <w:sz w:val="24"/>
        </w:rPr>
        <w:t xml:space="preserve">Legend:  </w:t>
        <w:br/>
      </w:r>
      <w:r>
        <w:rPr>
          <w:rFonts w:ascii="Times New Roman" w:hAnsi="Times New Roman"/>
          <w:b/>
          <w:sz w:val="24"/>
        </w:rPr>
        <w:t>R</w:t>
      </w:r>
      <w:r>
        <w:rPr>
          <w:rFonts w:ascii="Times New Roman" w:hAnsi="Times New Roman"/>
          <w:sz w:val="24"/>
        </w:rPr>
        <w:t xml:space="preserve"> = Responsible | </w:t>
      </w:r>
      <w:r>
        <w:rPr>
          <w:rFonts w:ascii="Times New Roman" w:hAnsi="Times New Roman"/>
          <w:b/>
          <w:sz w:val="24"/>
        </w:rPr>
        <w:t>A</w:t>
      </w:r>
      <w:r>
        <w:rPr>
          <w:rFonts w:ascii="Times New Roman" w:hAnsi="Times New Roman"/>
          <w:sz w:val="24"/>
        </w:rPr>
        <w:t xml:space="preserve"> = Accountable | </w:t>
      </w:r>
      <w:r>
        <w:rPr>
          <w:rFonts w:ascii="Times New Roman" w:hAnsi="Times New Roman"/>
          <w:b/>
          <w:sz w:val="24"/>
        </w:rPr>
        <w:t>C</w:t>
      </w:r>
      <w:r>
        <w:rPr>
          <w:rFonts w:ascii="Times New Roman" w:hAnsi="Times New Roman"/>
          <w:sz w:val="24"/>
        </w:rPr>
        <w:t xml:space="preserve"> = Consulted | </w:t>
      </w:r>
      <w:r>
        <w:rPr>
          <w:rFonts w:ascii="Times New Roman" w:hAnsi="Times New Roman"/>
          <w:b/>
          <w:sz w:val="24"/>
        </w:rPr>
        <w:t>I</w:t>
      </w:r>
      <w:r>
        <w:rPr>
          <w:rFonts w:ascii="Times New Roman" w:hAnsi="Times New Roman"/>
          <w:sz w:val="24"/>
        </w:rPr>
        <w:t xml:space="preserve"> = Informed</w:t>
      </w:r>
    </w:p>
    <w:p>
      <w:pPr>
        <w:pStyle w:val="Heading2"/>
        <w:spacing w:before="240" w:after="120"/>
        <w:ind w:left="0" w:firstLine="0"/>
      </w:pPr>
      <w:r>
        <w:t>8 AWS Architecture &amp; Accounts</w:t>
      </w:r>
    </w:p>
    <w:p>
      <w:pPr>
        <w:pStyle w:val="Heading3"/>
        <w:spacing w:before="160" w:after="120"/>
        <w:ind w:left="0" w:firstLine="0"/>
      </w:pPr>
      <w:r>
        <w:t>8.1 Architecture Overview</w:t>
      </w:r>
    </w:p>
    <w:p>
      <w:pPr>
        <w:spacing w:after="160"/>
      </w:pPr>
      <w:r>
        <w:rPr>
          <w:rFonts w:ascii="Times New Roman" w:hAnsi="Times New Roman"/>
          <w:sz w:val="24"/>
        </w:rPr>
        <w:t>The proposed AWS architecture is designed to provide a secure, scalable, and compliant foundation for current and future workloads. The architecture aligns with AWS best practices, including the Well-Architected Framework, and uses automation where possible to streamline deployment, security, and ongoing operations.</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Mar>
              <w:top w:w="100" w:type="dxa"/>
              <w:left w:w="100" w:type="dxa"/>
              <w:bottom w:w="100" w:type="dxa"/>
              <w:right w:w="100" w:type="dxa"/>
            </w:tcMar>
          </w:tcPr>
          <w:p>
            <w:pPr>
              <w:jc w:val="center"/>
            </w:pPr>
            <w:r>
              <w:drawing>
                <wp:inline xmlns:a="http://schemas.openxmlformats.org/drawingml/2006/main" xmlns:pic="http://schemas.openxmlformats.org/drawingml/2006/picture">
                  <wp:extent cx="1546617" cy="3657598"/>
                  <wp:docPr id="2" name="Picture 2"/>
                  <wp:cNvGraphicFramePr>
                    <a:graphicFrameLocks noChangeAspect="1"/>
                  </wp:cNvGraphicFramePr>
                  <a:graphic>
                    <a:graphicData uri="http://schemas.openxmlformats.org/drawingml/2006/picture">
                      <pic:pic>
                        <pic:nvPicPr>
                          <pic:cNvPr id="0" name="architecture-diagram.png"/>
                          <pic:cNvPicPr/>
                        </pic:nvPicPr>
                        <pic:blipFill>
                          <a:blip r:embed="rId19"/>
                          <a:stretch>
                            <a:fillRect/>
                          </a:stretch>
                        </pic:blipFill>
                        <pic:spPr>
                          <a:xfrm>
                            <a:off x="0" y="0"/>
                            <a:ext cx="1546617" cy="3657598"/>
                          </a:xfrm>
                          <a:prstGeom prst="rect"/>
                        </pic:spPr>
                      </pic:pic>
                    </a:graphicData>
                  </a:graphic>
                </wp:inline>
              </w:drawing>
            </w:r>
          </w:p>
        </w:tc>
      </w:tr>
    </w:tbl>
    <w:p>
      <w:pPr>
        <w:pStyle w:val="Caption"/>
        <w:spacing w:before="60" w:after="240"/>
        <w:jc w:val="center"/>
      </w:pPr>
      <w:r>
        <w:rPr>
          <w:rFonts w:ascii="Times New Roman" w:hAnsi="Times New Roman"/>
          <w:sz w:val="24"/>
        </w:rPr>
        <w:t xml:space="preserve">Figure </w:t>
      </w:r>
      <w:r>
        <w:fldChar w:fldCharType="begin"/>
      </w:r>
      <w:r>
        <w:instrText xml:space="preserve"> SEQ Figure \* ARABIC </w:instrText>
      </w:r>
      <w:r>
        <w:fldChar w:fldCharType="separate"/>
      </w:r>
      <w:r>
        <w:rPr>
          <w:rFonts w:ascii="Times New Roman" w:hAnsi="Times New Roman"/>
          <w:sz w:val="24"/>
        </w:rPr>
        <w:t>1</w:t>
      </w:r>
      <w:r>
        <w:fldChar w:fldCharType="end"/>
      </w:r>
      <w:r>
        <w:rPr>
          <w:rFonts w:ascii="Times New Roman" w:hAnsi="Times New Roman"/>
          <w:sz w:val="24"/>
        </w:rPr>
        <w:t>: Solution Architecture Diagram</w:t>
      </w:r>
    </w:p>
    <w:p>
      <w:pPr>
        <w:pStyle w:val="Heading3"/>
        <w:spacing w:before="160" w:after="120"/>
        <w:ind w:left="0" w:firstLine="0"/>
      </w:pPr>
      <w:r>
        <w:t>8.2 Architecture Type – Multi-account Landing Zone</w:t>
      </w:r>
    </w:p>
    <w:p>
      <w:pPr>
        <w:spacing w:after="160"/>
      </w:pPr>
      <w:r>
        <w:rPr>
          <w:rFonts w:ascii="Times New Roman" w:hAnsi="Times New Roman"/>
          <w:sz w:val="24"/>
        </w:rPr>
        <w:t>The deployment will follow a multi-account architecture using an AWS Landing Zone model. This approach enforces clear separation of environments (e.g., Dev, QA, Prod, Shared Services) and allows for granular SC (Service Control Policies), billing segmentation, and enhanced security boundary enforcement.</w:t>
      </w:r>
    </w:p>
    <w:p>
      <w:pPr>
        <w:spacing w:after="160"/>
      </w:pPr>
      <w:r>
        <w:rPr>
          <w:rFonts w:ascii="Times New Roman" w:hAnsi="Times New Roman"/>
          <w:sz w:val="24"/>
        </w:rPr>
        <w:t>Landing zone setup includes:</w:t>
      </w:r>
    </w:p>
    <w:p>
      <w:pPr>
        <w:spacing w:after="80"/>
        <w:ind w:left="720" w:hanging="360"/>
      </w:pPr>
      <w:r>
        <w:rPr>
          <w:rFonts w:ascii="Times New Roman" w:hAnsi="Times New Roman"/>
          <w:sz w:val="24"/>
        </w:rPr>
        <w:t xml:space="preserve">• </w:t>
      </w:r>
      <w:r>
        <w:rPr>
          <w:rFonts w:ascii="Times New Roman" w:hAnsi="Times New Roman"/>
          <w:sz w:val="24"/>
        </w:rPr>
        <w:t>AWS Organizations with consolidated billing and root management account</w:t>
      </w:r>
    </w:p>
    <w:p>
      <w:pPr>
        <w:spacing w:after="80"/>
        <w:ind w:left="720" w:hanging="360"/>
      </w:pPr>
      <w:r>
        <w:rPr>
          <w:rFonts w:ascii="Times New Roman" w:hAnsi="Times New Roman"/>
          <w:sz w:val="24"/>
        </w:rPr>
        <w:t xml:space="preserve">• </w:t>
      </w:r>
      <w:r>
        <w:rPr>
          <w:rFonts w:ascii="Times New Roman" w:hAnsi="Times New Roman"/>
          <w:sz w:val="24"/>
        </w:rPr>
        <w:t>Standardized baseline policies (SCPs, Guardrails)</w:t>
      </w:r>
    </w:p>
    <w:p>
      <w:pPr>
        <w:spacing w:after="80"/>
        <w:ind w:left="720" w:hanging="360"/>
      </w:pPr>
      <w:r>
        <w:rPr>
          <w:rFonts w:ascii="Times New Roman" w:hAnsi="Times New Roman"/>
          <w:sz w:val="24"/>
        </w:rPr>
        <w:t xml:space="preserve">• </w:t>
      </w:r>
      <w:r>
        <w:rPr>
          <w:rFonts w:ascii="Times New Roman" w:hAnsi="Times New Roman"/>
          <w:sz w:val="24"/>
        </w:rPr>
        <w:t>Account vending and configuration via AWS Control Tower or custom Terraform modules</w:t>
      </w:r>
    </w:p>
    <w:p>
      <w:pPr>
        <w:spacing w:after="160"/>
      </w:pPr>
      <w:r>
        <w:rPr>
          <w:rFonts w:ascii="Times New Roman" w:hAnsi="Times New Roman"/>
          <w:sz w:val="24"/>
        </w:rPr>
        <w:t>This design enables future scaling with centralized governance, improving isolation and reducing blast radius.</w:t>
      </w:r>
    </w:p>
    <w:p>
      <w:pPr>
        <w:pStyle w:val="Heading3"/>
        <w:spacing w:before="160" w:after="120"/>
        <w:ind w:left="0" w:firstLine="0"/>
      </w:pPr>
      <w:r>
        <w:t>8.3 Application Hosting</w:t>
      </w:r>
    </w:p>
    <w:p>
      <w:pPr>
        <w:spacing w:after="160"/>
      </w:pPr>
      <w:r>
        <w:rPr>
          <w:rFonts w:ascii="Times New Roman" w:hAnsi="Times New Roman"/>
          <w:sz w:val="24"/>
        </w:rPr>
        <w:t>Depending on the workload pattern and migration strategy, applications will be hosted using best-fit AWS compute options:</w:t>
      </w:r>
    </w:p>
    <w:p>
      <w:pPr>
        <w:spacing w:after="80"/>
        <w:ind w:left="720" w:hanging="360"/>
      </w:pPr>
      <w:r>
        <w:rPr>
          <w:rFonts w:ascii="Times New Roman" w:hAnsi="Times New Roman"/>
          <w:sz w:val="24"/>
        </w:rPr>
        <w:t xml:space="preserve">• </w:t>
      </w:r>
      <w:r>
        <w:rPr>
          <w:rFonts w:ascii="Times New Roman" w:hAnsi="Times New Roman"/>
          <w:b/>
          <w:sz w:val="24"/>
        </w:rPr>
        <w:t>EC2 (Elastic Compute Cloud)</w:t>
      </w:r>
      <w:r>
        <w:rPr>
          <w:rFonts w:ascii="Times New Roman" w:hAnsi="Times New Roman"/>
          <w:sz w:val="24"/>
        </w:rPr>
        <w:t xml:space="preserve"> for rehosted VMs or applications requiring custom OS-level control</w:t>
      </w:r>
    </w:p>
    <w:p>
      <w:pPr>
        <w:spacing w:after="80"/>
        <w:ind w:left="720" w:hanging="360"/>
      </w:pPr>
      <w:r>
        <w:rPr>
          <w:rFonts w:ascii="Times New Roman" w:hAnsi="Times New Roman"/>
          <w:sz w:val="24"/>
        </w:rPr>
        <w:t xml:space="preserve">• </w:t>
      </w:r>
      <w:r>
        <w:rPr>
          <w:rFonts w:ascii="Times New Roman" w:hAnsi="Times New Roman"/>
          <w:b/>
          <w:sz w:val="24"/>
        </w:rPr>
        <w:t>ECS or Fargate</w:t>
      </w:r>
      <w:r>
        <w:rPr>
          <w:rFonts w:ascii="Times New Roman" w:hAnsi="Times New Roman"/>
          <w:sz w:val="24"/>
        </w:rPr>
        <w:t xml:space="preserve"> for containerized workloads</w:t>
      </w:r>
    </w:p>
    <w:p>
      <w:pPr>
        <w:spacing w:after="80"/>
        <w:ind w:left="720" w:hanging="360"/>
      </w:pPr>
      <w:r>
        <w:rPr>
          <w:rFonts w:ascii="Times New Roman" w:hAnsi="Times New Roman"/>
          <w:sz w:val="24"/>
        </w:rPr>
        <w:t xml:space="preserve">• </w:t>
      </w:r>
      <w:r>
        <w:rPr>
          <w:rFonts w:ascii="Times New Roman" w:hAnsi="Times New Roman"/>
          <w:b/>
          <w:sz w:val="24"/>
        </w:rPr>
        <w:t>Lambda</w:t>
      </w:r>
      <w:r>
        <w:rPr>
          <w:rFonts w:ascii="Times New Roman" w:hAnsi="Times New Roman"/>
          <w:sz w:val="24"/>
        </w:rPr>
        <w:t xml:space="preserve"> for serverless or event-driven workloads</w:t>
      </w:r>
    </w:p>
    <w:p>
      <w:pPr>
        <w:spacing w:after="160"/>
      </w:pPr>
      <w:r>
        <w:rPr>
          <w:rFonts w:ascii="Times New Roman" w:hAnsi="Times New Roman"/>
          <w:sz w:val="24"/>
        </w:rPr>
        <w:t>All compute services will be deployed in private subnets for optimal security and managed using infrastructure-as-code (IaC).</w:t>
      </w:r>
    </w:p>
    <w:p>
      <w:pPr>
        <w:pStyle w:val="Heading3"/>
        <w:spacing w:before="160" w:after="120"/>
        <w:ind w:left="0" w:firstLine="0"/>
      </w:pPr>
      <w:r>
        <w:t>8.4 Networking</w:t>
      </w:r>
    </w:p>
    <w:p>
      <w:pPr>
        <w:spacing w:after="160"/>
      </w:pPr>
      <w:r>
        <w:rPr>
          <w:rFonts w:ascii="Times New Roman" w:hAnsi="Times New Roman"/>
          <w:sz w:val="24"/>
        </w:rPr>
        <w:t>The networking architecture will be implemented using AWS Virtual Private Cloud (VPC) components, adhering to a hub-and-spoke or shared VPC design:</w:t>
      </w:r>
    </w:p>
    <w:p>
      <w:pPr>
        <w:spacing w:after="80"/>
        <w:ind w:left="720" w:hanging="360"/>
      </w:pPr>
      <w:r>
        <w:rPr>
          <w:rFonts w:ascii="Times New Roman" w:hAnsi="Times New Roman"/>
          <w:sz w:val="24"/>
        </w:rPr>
        <w:t xml:space="preserve">• </w:t>
      </w:r>
      <w:r>
        <w:rPr>
          <w:rFonts w:ascii="Times New Roman" w:hAnsi="Times New Roman"/>
          <w:sz w:val="24"/>
        </w:rPr>
        <w:t>VPCs created per environment or workload type</w:t>
      </w:r>
    </w:p>
    <w:p>
      <w:pPr>
        <w:spacing w:after="80"/>
        <w:ind w:left="720" w:hanging="360"/>
      </w:pPr>
      <w:r>
        <w:rPr>
          <w:rFonts w:ascii="Times New Roman" w:hAnsi="Times New Roman"/>
          <w:sz w:val="24"/>
        </w:rPr>
        <w:t xml:space="preserve">• </w:t>
      </w:r>
      <w:r>
        <w:rPr>
          <w:rFonts w:ascii="Times New Roman" w:hAnsi="Times New Roman"/>
          <w:sz w:val="24"/>
        </w:rPr>
        <w:t>Subnets segmented by tier (web, app, data) across multiple Availability Zones (AZs)</w:t>
      </w:r>
    </w:p>
    <w:p>
      <w:pPr>
        <w:spacing w:after="80"/>
        <w:ind w:left="720" w:hanging="360"/>
      </w:pPr>
      <w:r>
        <w:rPr>
          <w:rFonts w:ascii="Times New Roman" w:hAnsi="Times New Roman"/>
          <w:sz w:val="24"/>
        </w:rPr>
        <w:t xml:space="preserve">• </w:t>
      </w:r>
      <w:r>
        <w:rPr>
          <w:rFonts w:ascii="Times New Roman" w:hAnsi="Times New Roman"/>
          <w:sz w:val="24"/>
        </w:rPr>
        <w:t>Routing configured via route tables and NAT gateways</w:t>
      </w:r>
    </w:p>
    <w:p>
      <w:pPr>
        <w:spacing w:after="80"/>
        <w:ind w:left="720" w:hanging="360"/>
      </w:pPr>
      <w:r>
        <w:rPr>
          <w:rFonts w:ascii="Times New Roman" w:hAnsi="Times New Roman"/>
          <w:sz w:val="24"/>
        </w:rPr>
        <w:t xml:space="preserve">• </w:t>
      </w:r>
      <w:r>
        <w:rPr>
          <w:rFonts w:ascii="Times New Roman" w:hAnsi="Times New Roman"/>
          <w:sz w:val="24"/>
        </w:rPr>
        <w:t>Transit Gateway (TGW) or VPC peering used for inter-VPC communication</w:t>
      </w:r>
    </w:p>
    <w:p>
      <w:pPr>
        <w:spacing w:after="80"/>
        <w:ind w:left="720" w:hanging="360"/>
      </w:pPr>
      <w:r>
        <w:rPr>
          <w:rFonts w:ascii="Times New Roman" w:hAnsi="Times New Roman"/>
          <w:sz w:val="24"/>
        </w:rPr>
        <w:t xml:space="preserve">• </w:t>
      </w:r>
      <w:r>
        <w:rPr>
          <w:rFonts w:ascii="Times New Roman" w:hAnsi="Times New Roman"/>
          <w:sz w:val="24"/>
        </w:rPr>
        <w:t>Hybrid connectivity via AWS VPN or Direct Connect (DX), enabling integration with on-prem systems</w:t>
      </w:r>
    </w:p>
    <w:p>
      <w:pPr>
        <w:pStyle w:val="Heading3"/>
        <w:spacing w:before="160" w:after="120"/>
        <w:ind w:left="0" w:firstLine="0"/>
      </w:pPr>
      <w:r>
        <w:t>8.5 Observability</w:t>
      </w:r>
    </w:p>
    <w:p>
      <w:pPr>
        <w:spacing w:after="160"/>
      </w:pPr>
      <w:r>
        <w:rPr>
          <w:rFonts w:ascii="Times New Roman" w:hAnsi="Times New Roman"/>
          <w:sz w:val="24"/>
        </w:rPr>
        <w:t>A centralized observability framework ensures operational continuity and rapid incident response:</w:t>
      </w:r>
    </w:p>
    <w:p>
      <w:pPr>
        <w:spacing w:after="80"/>
        <w:ind w:left="720" w:hanging="360"/>
      </w:pPr>
      <w:r>
        <w:rPr>
          <w:rFonts w:ascii="Times New Roman" w:hAnsi="Times New Roman"/>
          <w:sz w:val="24"/>
        </w:rPr>
        <w:t xml:space="preserve">• </w:t>
      </w:r>
      <w:r>
        <w:rPr>
          <w:rFonts w:ascii="Times New Roman" w:hAnsi="Times New Roman"/>
          <w:b/>
          <w:sz w:val="24"/>
        </w:rPr>
        <w:t>CloudWatch</w:t>
      </w:r>
      <w:r>
        <w:rPr>
          <w:rFonts w:ascii="Times New Roman" w:hAnsi="Times New Roman"/>
          <w:sz w:val="24"/>
        </w:rPr>
        <w:t xml:space="preserve"> Logs and Metrics</w:t>
      </w:r>
    </w:p>
    <w:p>
      <w:pPr>
        <w:spacing w:after="80"/>
        <w:ind w:left="720" w:hanging="360"/>
      </w:pPr>
      <w:r>
        <w:rPr>
          <w:rFonts w:ascii="Times New Roman" w:hAnsi="Times New Roman"/>
          <w:sz w:val="24"/>
        </w:rPr>
        <w:t xml:space="preserve">• </w:t>
      </w:r>
      <w:r>
        <w:rPr>
          <w:rFonts w:ascii="Times New Roman" w:hAnsi="Times New Roman"/>
          <w:b/>
          <w:sz w:val="24"/>
        </w:rPr>
        <w:t>X-Ray</w:t>
      </w:r>
      <w:r>
        <w:rPr>
          <w:rFonts w:ascii="Times New Roman" w:hAnsi="Times New Roman"/>
          <w:sz w:val="24"/>
        </w:rPr>
        <w:t xml:space="preserve"> for application tracing</w:t>
      </w:r>
    </w:p>
    <w:p>
      <w:pPr>
        <w:spacing w:after="80"/>
        <w:ind w:left="720" w:hanging="360"/>
      </w:pPr>
      <w:r>
        <w:rPr>
          <w:rFonts w:ascii="Times New Roman" w:hAnsi="Times New Roman"/>
          <w:sz w:val="24"/>
        </w:rPr>
        <w:t xml:space="preserve">• </w:t>
      </w:r>
      <w:r>
        <w:rPr>
          <w:rFonts w:ascii="Times New Roman" w:hAnsi="Times New Roman"/>
          <w:b/>
          <w:sz w:val="24"/>
        </w:rPr>
        <w:t>GuardDuty</w:t>
      </w:r>
      <w:r>
        <w:rPr>
          <w:rFonts w:ascii="Times New Roman" w:hAnsi="Times New Roman"/>
          <w:sz w:val="24"/>
        </w:rPr>
        <w:t xml:space="preserve"> for threat detection</w:t>
      </w:r>
    </w:p>
    <w:p>
      <w:pPr>
        <w:spacing w:after="80"/>
        <w:ind w:left="720" w:hanging="360"/>
      </w:pPr>
      <w:r>
        <w:rPr>
          <w:rFonts w:ascii="Times New Roman" w:hAnsi="Times New Roman"/>
          <w:sz w:val="24"/>
        </w:rPr>
        <w:t xml:space="preserve">• </w:t>
      </w:r>
      <w:r>
        <w:rPr>
          <w:rFonts w:ascii="Times New Roman" w:hAnsi="Times New Roman"/>
          <w:sz w:val="24"/>
        </w:rPr>
        <w:t>Logs will be aggregated in a central logging account using AWS Organizations practices</w:t>
      </w:r>
    </w:p>
    <w:p>
      <w:pPr>
        <w:pStyle w:val="Heading3"/>
        <w:spacing w:before="160" w:after="120"/>
        <w:ind w:left="0" w:firstLine="0"/>
      </w:pPr>
      <w:r>
        <w:t>8.6 Backup &amp; Disaster Recovery</w:t>
      </w:r>
    </w:p>
    <w:p>
      <w:pPr>
        <w:spacing w:after="160"/>
      </w:pPr>
      <w:r>
        <w:rPr>
          <w:rFonts w:ascii="Times New Roman" w:hAnsi="Times New Roman"/>
          <w:sz w:val="24"/>
        </w:rPr>
        <w:t>All critical data and workloads will be protected through:</w:t>
      </w:r>
    </w:p>
    <w:p>
      <w:pPr>
        <w:spacing w:after="80"/>
        <w:ind w:left="720" w:hanging="360"/>
      </w:pPr>
      <w:r>
        <w:rPr>
          <w:rFonts w:ascii="Times New Roman" w:hAnsi="Times New Roman"/>
          <w:sz w:val="24"/>
        </w:rPr>
        <w:t xml:space="preserve">• </w:t>
      </w:r>
      <w:r>
        <w:rPr>
          <w:rFonts w:ascii="Times New Roman" w:hAnsi="Times New Roman"/>
          <w:sz w:val="24"/>
        </w:rPr>
        <w:t>Automated backups via AWS Backup</w:t>
      </w:r>
    </w:p>
    <w:p>
      <w:pPr>
        <w:spacing w:after="80"/>
        <w:ind w:left="720" w:hanging="360"/>
      </w:pPr>
      <w:r>
        <w:rPr>
          <w:rFonts w:ascii="Times New Roman" w:hAnsi="Times New Roman"/>
          <w:sz w:val="24"/>
        </w:rPr>
        <w:t xml:space="preserve">• </w:t>
      </w:r>
      <w:r>
        <w:rPr>
          <w:rFonts w:ascii="Times New Roman" w:hAnsi="Times New Roman"/>
          <w:sz w:val="24"/>
        </w:rPr>
        <w:t>Cross-AZ replication for high availability</w:t>
      </w:r>
    </w:p>
    <w:p>
      <w:pPr>
        <w:spacing w:after="80"/>
        <w:ind w:left="720" w:hanging="360"/>
      </w:pPr>
      <w:r>
        <w:rPr>
          <w:rFonts w:ascii="Times New Roman" w:hAnsi="Times New Roman"/>
          <w:sz w:val="24"/>
        </w:rPr>
        <w:t xml:space="preserve">• </w:t>
      </w:r>
      <w:r>
        <w:rPr>
          <w:rFonts w:ascii="Times New Roman" w:hAnsi="Times New Roman"/>
          <w:sz w:val="24"/>
        </w:rPr>
        <w:t>Optional cross-region replication for disaster recovery (DR) scenarios</w:t>
      </w:r>
    </w:p>
    <w:p>
      <w:pPr>
        <w:spacing w:after="80"/>
        <w:ind w:left="720" w:hanging="360"/>
      </w:pPr>
      <w:r>
        <w:rPr>
          <w:rFonts w:ascii="Times New Roman" w:hAnsi="Times New Roman"/>
          <w:sz w:val="24"/>
        </w:rPr>
        <w:t xml:space="preserve">• </w:t>
      </w:r>
      <w:r>
        <w:rPr>
          <w:rFonts w:ascii="Times New Roman" w:hAnsi="Times New Roman"/>
          <w:sz w:val="24"/>
        </w:rPr>
        <w:t>DR strategies aligned to Client’s defined RTO/RPO goals</w:t>
      </w:r>
    </w:p>
    <w:p>
      <w:pPr>
        <w:pStyle w:val="Heading2"/>
        <w:spacing w:before="240" w:after="120"/>
        <w:ind w:left="0" w:firstLine="0"/>
      </w:pPr>
      <w:r>
        <w:t>9 Assumptions</w:t>
      </w:r>
    </w:p>
    <w:p>
      <w:pPr>
        <w:pStyle w:val="Heading3"/>
        <w:spacing w:before="160" w:after="120"/>
        <w:ind w:left="0" w:firstLine="0"/>
      </w:pPr>
      <w:r>
        <w:t>9.1 General Assumptions</w:t>
      </w:r>
    </w:p>
    <w:p>
      <w:pPr>
        <w:spacing w:after="80"/>
        <w:ind w:left="720" w:hanging="360"/>
      </w:pPr>
      <w:r>
        <w:rPr>
          <w:rFonts w:ascii="Times New Roman" w:hAnsi="Times New Roman"/>
          <w:sz w:val="24"/>
        </w:rPr>
        <w:t xml:space="preserve">• </w:t>
      </w:r>
      <w:r>
        <w:rPr>
          <w:rFonts w:ascii="Times New Roman" w:hAnsi="Times New Roman"/>
          <w:sz w:val="24"/>
        </w:rPr>
        <w:t>Client provides timely access to applications, SMEs, and target systems.</w:t>
      </w:r>
    </w:p>
    <w:p>
      <w:pPr>
        <w:spacing w:after="80"/>
        <w:ind w:left="720" w:hanging="360"/>
      </w:pPr>
      <w:r>
        <w:rPr>
          <w:rFonts w:ascii="Times New Roman" w:hAnsi="Times New Roman"/>
          <w:sz w:val="24"/>
        </w:rPr>
        <w:t xml:space="preserve">• </w:t>
      </w:r>
      <w:r>
        <w:rPr>
          <w:rFonts w:ascii="Times New Roman" w:hAnsi="Times New Roman"/>
          <w:sz w:val="24"/>
        </w:rPr>
        <w:t>IAM roles are provisioned with appropriate permissions before migration waves start.</w:t>
      </w:r>
    </w:p>
    <w:p>
      <w:pPr>
        <w:spacing w:after="80"/>
        <w:ind w:left="720" w:hanging="360"/>
      </w:pPr>
      <w:r>
        <w:rPr>
          <w:rFonts w:ascii="Times New Roman" w:hAnsi="Times New Roman"/>
          <w:sz w:val="24"/>
        </w:rPr>
        <w:t xml:space="preserve">• </w:t>
      </w:r>
      <w:r>
        <w:rPr>
          <w:rFonts w:ascii="Times New Roman" w:hAnsi="Times New Roman"/>
          <w:sz w:val="24"/>
        </w:rPr>
        <w:t>On-prem network connectivity will be handled via DX or VPN.</w:t>
      </w:r>
    </w:p>
    <w:p>
      <w:pPr>
        <w:spacing w:after="80"/>
        <w:ind w:left="720" w:hanging="360"/>
      </w:pPr>
      <w:r>
        <w:rPr>
          <w:rFonts w:ascii="Times New Roman" w:hAnsi="Times New Roman"/>
          <w:sz w:val="24"/>
        </w:rPr>
        <w:t xml:space="preserve">• </w:t>
      </w:r>
      <w:r>
        <w:rPr>
          <w:rFonts w:ascii="Times New Roman" w:hAnsi="Times New Roman"/>
          <w:sz w:val="24"/>
        </w:rPr>
        <w:t>All required AWS accounts are permitted for project use.</w:t>
      </w:r>
    </w:p>
    <w:p>
      <w:pPr>
        <w:pStyle w:val="Heading2"/>
        <w:spacing w:before="240" w:after="120"/>
        <w:ind w:left="0" w:firstLine="0"/>
      </w:pPr>
      <w:r>
        <w:t>10 Dependencies</w:t>
      </w:r>
    </w:p>
    <w:p>
      <w:pPr>
        <w:pStyle w:val="Heading3"/>
        <w:spacing w:before="160" w:after="120"/>
        <w:ind w:left="0" w:firstLine="0"/>
      </w:pPr>
      <w:r>
        <w:t>10.1 Project Dependencies</w:t>
      </w:r>
    </w:p>
    <w:p>
      <w:pPr>
        <w:spacing w:after="80"/>
        <w:ind w:left="720" w:hanging="360"/>
      </w:pPr>
      <w:r>
        <w:rPr>
          <w:rFonts w:ascii="Times New Roman" w:hAnsi="Times New Roman"/>
          <w:sz w:val="24"/>
        </w:rPr>
        <w:t xml:space="preserve">• </w:t>
      </w:r>
      <w:r>
        <w:rPr>
          <w:rFonts w:ascii="Times New Roman" w:hAnsi="Times New Roman"/>
          <w:sz w:val="24"/>
        </w:rPr>
        <w:t>Approval for AWS Organizations setup</w:t>
      </w:r>
    </w:p>
    <w:p>
      <w:pPr>
        <w:spacing w:after="80"/>
        <w:ind w:left="720" w:hanging="360"/>
      </w:pPr>
      <w:r>
        <w:rPr>
          <w:rFonts w:ascii="Times New Roman" w:hAnsi="Times New Roman"/>
          <w:sz w:val="24"/>
        </w:rPr>
        <w:t xml:space="preserve">• </w:t>
      </w:r>
      <w:r>
        <w:rPr>
          <w:rFonts w:ascii="Times New Roman" w:hAnsi="Times New Roman"/>
          <w:sz w:val="24"/>
        </w:rPr>
        <w:t>Third-party application vendor support (if required for migration)</w:t>
      </w:r>
    </w:p>
    <w:p>
      <w:pPr>
        <w:spacing w:after="80"/>
        <w:ind w:left="720" w:hanging="360"/>
      </w:pPr>
      <w:r>
        <w:rPr>
          <w:rFonts w:ascii="Times New Roman" w:hAnsi="Times New Roman"/>
          <w:sz w:val="24"/>
        </w:rPr>
        <w:t xml:space="preserve">• </w:t>
      </w:r>
      <w:r>
        <w:rPr>
          <w:rFonts w:ascii="Times New Roman" w:hAnsi="Times New Roman"/>
          <w:sz w:val="24"/>
        </w:rPr>
        <w:t>DNS access and domain control during cutover</w:t>
      </w:r>
    </w:p>
    <w:p>
      <w:pPr>
        <w:spacing w:after="80"/>
        <w:ind w:left="720" w:hanging="360"/>
      </w:pPr>
      <w:r>
        <w:rPr>
          <w:rFonts w:ascii="Times New Roman" w:hAnsi="Times New Roman"/>
          <w:sz w:val="24"/>
        </w:rPr>
        <w:t xml:space="preserve">• </w:t>
      </w:r>
      <w:r>
        <w:rPr>
          <w:rFonts w:ascii="Times New Roman" w:hAnsi="Times New Roman"/>
          <w:sz w:val="24"/>
        </w:rPr>
        <w:t>Required firewall/NAT rules established prior to migration</w:t>
      </w:r>
    </w:p>
    <w:p>
      <w:pPr>
        <w:pStyle w:val="Heading2"/>
        <w:spacing w:before="240" w:after="120"/>
        <w:ind w:left="0" w:firstLine="0"/>
      </w:pPr>
      <w:r>
        <w:t>11 AWS Security, Compliance &amp; Governance</w:t>
      </w:r>
    </w:p>
    <w:p>
      <w:pPr>
        <w:spacing w:after="160"/>
      </w:pPr>
      <w:r>
        <w:rPr>
          <w:rFonts w:ascii="Times New Roman" w:hAnsi="Times New Roman"/>
          <w:sz w:val="24"/>
        </w:rPr>
        <w:t>The migration and target AWS environment will be architected and validated to meet the Client’s security, compliance, and governance requirements. Vendor will adhere to AWS's Shared Responsibility Model and industry-standard security frameworks during implementation.</w:t>
      </w:r>
    </w:p>
    <w:p>
      <w:pPr>
        <w:pStyle w:val="Heading3"/>
        <w:spacing w:before="160" w:after="120"/>
        <w:ind w:left="0" w:firstLine="0"/>
      </w:pPr>
      <w:r>
        <w:t>11.1 Identity &amp; Access Management</w:t>
      </w:r>
    </w:p>
    <w:p>
      <w:pPr>
        <w:spacing w:after="80"/>
        <w:ind w:left="720" w:hanging="360"/>
      </w:pPr>
      <w:r>
        <w:rPr>
          <w:rFonts w:ascii="Times New Roman" w:hAnsi="Times New Roman"/>
          <w:sz w:val="24"/>
        </w:rPr>
        <w:t xml:space="preserve">• </w:t>
      </w:r>
      <w:r>
        <w:rPr>
          <w:rFonts w:ascii="Times New Roman" w:hAnsi="Times New Roman"/>
          <w:sz w:val="24"/>
        </w:rPr>
        <w:t>IAM roles designed using least-privilege access</w:t>
      </w:r>
    </w:p>
    <w:p>
      <w:pPr>
        <w:spacing w:after="80"/>
        <w:ind w:left="720" w:hanging="360"/>
      </w:pPr>
      <w:r>
        <w:rPr>
          <w:rFonts w:ascii="Times New Roman" w:hAnsi="Times New Roman"/>
          <w:sz w:val="24"/>
        </w:rPr>
        <w:t xml:space="preserve">• </w:t>
      </w:r>
      <w:r>
        <w:rPr>
          <w:rFonts w:ascii="Times New Roman" w:hAnsi="Times New Roman"/>
          <w:sz w:val="24"/>
        </w:rPr>
        <w:t>Role-based access control (RBAC) aligned with Client’s internal teams</w:t>
      </w:r>
    </w:p>
    <w:p>
      <w:pPr>
        <w:spacing w:after="80"/>
        <w:ind w:left="720" w:hanging="360"/>
      </w:pPr>
      <w:r>
        <w:rPr>
          <w:rFonts w:ascii="Times New Roman" w:hAnsi="Times New Roman"/>
          <w:sz w:val="24"/>
        </w:rPr>
        <w:t xml:space="preserve">• </w:t>
      </w:r>
      <w:r>
        <w:rPr>
          <w:rFonts w:ascii="Times New Roman" w:hAnsi="Times New Roman"/>
          <w:sz w:val="24"/>
        </w:rPr>
        <w:t>Optional identity federation integration (e.g. Azure AD, Okta)</w:t>
      </w:r>
    </w:p>
    <w:p>
      <w:pPr>
        <w:pStyle w:val="Heading3"/>
        <w:spacing w:before="160" w:after="120"/>
        <w:ind w:left="0" w:firstLine="0"/>
      </w:pPr>
      <w:r>
        <w:t>11.2 Monitoring &amp; Threat Detection</w:t>
      </w:r>
    </w:p>
    <w:p>
      <w:pPr>
        <w:spacing w:after="80"/>
        <w:ind w:left="720" w:hanging="360"/>
      </w:pPr>
      <w:r>
        <w:rPr>
          <w:rFonts w:ascii="Times New Roman" w:hAnsi="Times New Roman"/>
          <w:sz w:val="24"/>
        </w:rPr>
        <w:t xml:space="preserve">• </w:t>
      </w:r>
      <w:r>
        <w:rPr>
          <w:rFonts w:ascii="Times New Roman" w:hAnsi="Times New Roman"/>
          <w:sz w:val="24"/>
        </w:rPr>
        <w:t>GuardDuty enabled across accounts for real-time threat detection</w:t>
      </w:r>
    </w:p>
    <w:p>
      <w:pPr>
        <w:spacing w:after="80"/>
        <w:ind w:left="720" w:hanging="360"/>
      </w:pPr>
      <w:r>
        <w:rPr>
          <w:rFonts w:ascii="Times New Roman" w:hAnsi="Times New Roman"/>
          <w:sz w:val="24"/>
        </w:rPr>
        <w:t xml:space="preserve">• </w:t>
      </w:r>
      <w:r>
        <w:rPr>
          <w:rFonts w:ascii="Times New Roman" w:hAnsi="Times New Roman"/>
          <w:sz w:val="24"/>
        </w:rPr>
        <w:t>AWS Config and CloudTrail enabled for audit logging and change detection</w:t>
      </w:r>
    </w:p>
    <w:p>
      <w:pPr>
        <w:spacing w:after="80"/>
        <w:ind w:left="720" w:hanging="360"/>
      </w:pPr>
      <w:r>
        <w:rPr>
          <w:rFonts w:ascii="Times New Roman" w:hAnsi="Times New Roman"/>
          <w:sz w:val="24"/>
        </w:rPr>
        <w:t xml:space="preserve">• </w:t>
      </w:r>
      <w:r>
        <w:rPr>
          <w:rFonts w:ascii="Times New Roman" w:hAnsi="Times New Roman"/>
          <w:sz w:val="24"/>
        </w:rPr>
        <w:t>Optional integration with SIEM tools like Splunk, Datadog, or ELK</w:t>
      </w:r>
    </w:p>
    <w:p>
      <w:pPr>
        <w:pStyle w:val="Heading3"/>
        <w:spacing w:before="160" w:after="120"/>
        <w:ind w:left="0" w:firstLine="0"/>
      </w:pPr>
      <w:r>
        <w:t>11.3 Compliance &amp; Auditing</w:t>
      </w:r>
    </w:p>
    <w:p>
      <w:pPr>
        <w:spacing w:after="80"/>
        <w:ind w:left="720" w:hanging="360"/>
      </w:pPr>
      <w:r>
        <w:rPr>
          <w:rFonts w:ascii="Times New Roman" w:hAnsi="Times New Roman"/>
          <w:sz w:val="24"/>
        </w:rPr>
        <w:t xml:space="preserve">• </w:t>
      </w:r>
      <w:r>
        <w:rPr>
          <w:rFonts w:ascii="Times New Roman" w:hAnsi="Times New Roman"/>
          <w:sz w:val="24"/>
        </w:rPr>
        <w:t>Policies configured for adherence to standards such as SOC2, ISO27001, HIPAA, etc.</w:t>
      </w:r>
    </w:p>
    <w:p>
      <w:pPr>
        <w:spacing w:after="80"/>
        <w:ind w:left="720" w:hanging="360"/>
      </w:pPr>
      <w:r>
        <w:rPr>
          <w:rFonts w:ascii="Times New Roman" w:hAnsi="Times New Roman"/>
          <w:sz w:val="24"/>
        </w:rPr>
        <w:t xml:space="preserve">• </w:t>
      </w:r>
      <w:r>
        <w:rPr>
          <w:rFonts w:ascii="Times New Roman" w:hAnsi="Times New Roman"/>
          <w:sz w:val="24"/>
        </w:rPr>
        <w:t>Continuous assessment using Security Hub and Trusted Advisor</w:t>
      </w:r>
    </w:p>
    <w:p>
      <w:pPr>
        <w:spacing w:after="80"/>
        <w:ind w:left="720" w:hanging="360"/>
      </w:pPr>
      <w:r>
        <w:rPr>
          <w:rFonts w:ascii="Times New Roman" w:hAnsi="Times New Roman"/>
          <w:sz w:val="24"/>
        </w:rPr>
        <w:t xml:space="preserve">• </w:t>
      </w:r>
      <w:r>
        <w:rPr>
          <w:rFonts w:ascii="Times New Roman" w:hAnsi="Times New Roman"/>
          <w:sz w:val="24"/>
        </w:rPr>
        <w:t>Optional support for GovCloud for regulatory compliance</w:t>
      </w:r>
    </w:p>
    <w:p>
      <w:pPr>
        <w:pStyle w:val="Heading3"/>
        <w:spacing w:before="160" w:after="120"/>
        <w:ind w:left="0" w:firstLine="0"/>
      </w:pPr>
      <w:r>
        <w:t>11.4 Encryption &amp; Key Management</w:t>
      </w:r>
    </w:p>
    <w:p>
      <w:pPr>
        <w:spacing w:after="80"/>
        <w:ind w:left="720" w:hanging="360"/>
      </w:pPr>
      <w:r>
        <w:rPr>
          <w:rFonts w:ascii="Times New Roman" w:hAnsi="Times New Roman"/>
          <w:sz w:val="24"/>
        </w:rPr>
        <w:t xml:space="preserve">• </w:t>
      </w:r>
      <w:r>
        <w:rPr>
          <w:rFonts w:ascii="Times New Roman" w:hAnsi="Times New Roman"/>
          <w:sz w:val="24"/>
        </w:rPr>
        <w:t>KMS-managed keys for in-transit and at-rest encryption</w:t>
      </w:r>
    </w:p>
    <w:p>
      <w:pPr>
        <w:spacing w:after="80"/>
        <w:ind w:left="720" w:hanging="360"/>
      </w:pPr>
      <w:r>
        <w:rPr>
          <w:rFonts w:ascii="Times New Roman" w:hAnsi="Times New Roman"/>
          <w:sz w:val="24"/>
        </w:rPr>
        <w:t xml:space="preserve">• </w:t>
      </w:r>
      <w:r>
        <w:rPr>
          <w:rFonts w:ascii="Times New Roman" w:hAnsi="Times New Roman"/>
          <w:sz w:val="24"/>
        </w:rPr>
        <w:t>Optional BYOK or CloudHSM deployment</w:t>
      </w:r>
    </w:p>
    <w:p>
      <w:pPr>
        <w:spacing w:after="80"/>
        <w:ind w:left="720" w:hanging="360"/>
      </w:pPr>
      <w:r>
        <w:rPr>
          <w:rFonts w:ascii="Times New Roman" w:hAnsi="Times New Roman"/>
          <w:sz w:val="24"/>
        </w:rPr>
        <w:t xml:space="preserve">• </w:t>
      </w:r>
      <w:r>
        <w:rPr>
          <w:rFonts w:ascii="Times New Roman" w:hAnsi="Times New Roman"/>
          <w:sz w:val="24"/>
        </w:rPr>
        <w:t>TLS enforcement for all data channels</w:t>
      </w:r>
    </w:p>
    <w:p>
      <w:pPr>
        <w:pStyle w:val="Heading3"/>
        <w:spacing w:before="160" w:after="120"/>
        <w:ind w:left="0" w:firstLine="0"/>
      </w:pPr>
      <w:r>
        <w:t>11.5 Governance</w:t>
      </w:r>
    </w:p>
    <w:p>
      <w:pPr>
        <w:spacing w:after="80"/>
        <w:ind w:left="720" w:hanging="360"/>
      </w:pPr>
      <w:r>
        <w:rPr>
          <w:rFonts w:ascii="Times New Roman" w:hAnsi="Times New Roman"/>
          <w:sz w:val="24"/>
        </w:rPr>
        <w:t xml:space="preserve">• </w:t>
      </w:r>
      <w:r>
        <w:rPr>
          <w:rFonts w:ascii="Times New Roman" w:hAnsi="Times New Roman"/>
          <w:sz w:val="24"/>
        </w:rPr>
        <w:t>Use of Service Control Policies (SCPs) to enforce mandatory security posture</w:t>
      </w:r>
    </w:p>
    <w:p>
      <w:pPr>
        <w:spacing w:after="80"/>
        <w:ind w:left="720" w:hanging="360"/>
      </w:pPr>
      <w:r>
        <w:rPr>
          <w:rFonts w:ascii="Times New Roman" w:hAnsi="Times New Roman"/>
          <w:sz w:val="24"/>
        </w:rPr>
        <w:t xml:space="preserve">• </w:t>
      </w:r>
      <w:r>
        <w:rPr>
          <w:rFonts w:ascii="Times New Roman" w:hAnsi="Times New Roman"/>
          <w:sz w:val="24"/>
        </w:rPr>
        <w:t>AWS tagging strategy applied for cost allocation, ownership, and automation</w:t>
      </w:r>
    </w:p>
    <w:p>
      <w:pPr>
        <w:spacing w:after="80"/>
        <w:ind w:left="720" w:hanging="360"/>
      </w:pPr>
      <w:r>
        <w:rPr>
          <w:rFonts w:ascii="Times New Roman" w:hAnsi="Times New Roman"/>
          <w:sz w:val="24"/>
        </w:rPr>
        <w:t xml:space="preserve">• </w:t>
      </w:r>
      <w:r>
        <w:rPr>
          <w:rFonts w:ascii="Times New Roman" w:hAnsi="Times New Roman"/>
          <w:sz w:val="24"/>
        </w:rPr>
        <w:t>IaC policy enforcement using tools such as Conftest or AWS CodePipeline</w:t>
      </w:r>
    </w:p>
    <w:p>
      <w:pPr>
        <w:pStyle w:val="Heading2"/>
        <w:spacing w:before="240" w:after="120"/>
        <w:ind w:left="0" w:firstLine="0"/>
      </w:pPr>
      <w:r>
        <w:t>12 Environments &amp; Access</w:t>
      </w:r>
    </w:p>
    <w:p>
      <w:pPr>
        <w:pStyle w:val="Heading3"/>
        <w:spacing w:before="160" w:after="120"/>
        <w:ind w:left="0" w:firstLine="0"/>
      </w:pPr>
      <w:r>
        <w:t>12.1 Environments</w:t>
      </w:r>
    </w:p>
    <w:p>
      <w:pPr>
        <w:spacing w:after="80"/>
        <w:ind w:left="720" w:hanging="360"/>
      </w:pPr>
      <w:r>
        <w:rPr>
          <w:rFonts w:ascii="Times New Roman" w:hAnsi="Times New Roman"/>
          <w:sz w:val="24"/>
        </w:rPr>
        <w:t xml:space="preserve">• </w:t>
      </w:r>
      <w:r>
        <w:rPr>
          <w:rFonts w:ascii="Times New Roman" w:hAnsi="Times New Roman"/>
          <w:sz w:val="24"/>
        </w:rPr>
        <w:t>Dev, QA, Stage, Prod</w:t>
      </w:r>
    </w:p>
    <w:p>
      <w:pPr>
        <w:pStyle w:val="Heading3"/>
        <w:spacing w:before="160" w:after="120"/>
        <w:ind w:left="0" w:firstLine="0"/>
      </w:pPr>
      <w:r>
        <w:t>12.2 Access Policies</w:t>
      </w:r>
    </w:p>
    <w:p>
      <w:pPr>
        <w:spacing w:after="80"/>
        <w:ind w:left="720" w:hanging="360"/>
      </w:pPr>
      <w:r>
        <w:rPr>
          <w:rFonts w:ascii="Times New Roman" w:hAnsi="Times New Roman"/>
          <w:sz w:val="24"/>
        </w:rPr>
        <w:t xml:space="preserve">• </w:t>
      </w:r>
      <w:r>
        <w:rPr>
          <w:rFonts w:ascii="Times New Roman" w:hAnsi="Times New Roman"/>
          <w:sz w:val="24"/>
        </w:rPr>
        <w:t>MFA required</w:t>
      </w:r>
    </w:p>
    <w:p>
      <w:pPr>
        <w:spacing w:after="80"/>
        <w:ind w:left="720" w:hanging="360"/>
      </w:pPr>
      <w:r>
        <w:rPr>
          <w:rFonts w:ascii="Times New Roman" w:hAnsi="Times New Roman"/>
          <w:sz w:val="24"/>
        </w:rPr>
        <w:t xml:space="preserve">• </w:t>
      </w:r>
      <w:r>
        <w:rPr>
          <w:rFonts w:ascii="Times New Roman" w:hAnsi="Times New Roman"/>
          <w:sz w:val="24"/>
        </w:rPr>
        <w:t>SSO federation preferred</w:t>
      </w:r>
    </w:p>
    <w:p>
      <w:pPr>
        <w:spacing w:after="80"/>
        <w:ind w:left="720" w:hanging="360"/>
      </w:pPr>
      <w:r>
        <w:rPr>
          <w:rFonts w:ascii="Times New Roman" w:hAnsi="Times New Roman"/>
          <w:sz w:val="24"/>
        </w:rPr>
        <w:t xml:space="preserve">• </w:t>
      </w:r>
      <w:r>
        <w:rPr>
          <w:rFonts w:ascii="Times New Roman" w:hAnsi="Times New Roman"/>
          <w:sz w:val="24"/>
        </w:rPr>
        <w:t>No direct SSH — use SSM Session Manager</w:t>
      </w:r>
    </w:p>
    <w:p>
      <w:pPr>
        <w:pStyle w:val="Heading2"/>
        <w:spacing w:before="240" w:after="120"/>
        <w:ind w:left="0" w:firstLine="0"/>
      </w:pPr>
      <w:r>
        <w:t>13 Testing &amp; Validation</w:t>
      </w:r>
    </w:p>
    <w:p>
      <w:pPr>
        <w:spacing w:after="160"/>
      </w:pPr>
      <w:r>
        <w:rPr>
          <w:rFonts w:ascii="Times New Roman" w:hAnsi="Times New Roman"/>
          <w:sz w:val="24"/>
        </w:rPr>
        <w:t>Comprehensive testing and validation will take place throughout the migration lifecycle to ensure functionality, performance, security, and resilience of all workloads on AWS.</w:t>
      </w:r>
    </w:p>
    <w:p>
      <w:pPr>
        <w:pStyle w:val="Heading3"/>
        <w:spacing w:before="160" w:after="120"/>
        <w:ind w:left="0" w:firstLine="0"/>
      </w:pPr>
      <w:r>
        <w:t>13.1 Functional Validation</w:t>
      </w:r>
    </w:p>
    <w:p>
      <w:pPr>
        <w:spacing w:after="80"/>
        <w:ind w:left="720" w:hanging="360"/>
      </w:pPr>
      <w:r>
        <w:rPr>
          <w:rFonts w:ascii="Times New Roman" w:hAnsi="Times New Roman"/>
          <w:sz w:val="24"/>
        </w:rPr>
        <w:t xml:space="preserve">• </w:t>
      </w:r>
      <w:r>
        <w:rPr>
          <w:rFonts w:ascii="Times New Roman" w:hAnsi="Times New Roman"/>
          <w:sz w:val="24"/>
        </w:rPr>
        <w:t>End-to-end application validation via UI, API, or batch-level testing</w:t>
      </w:r>
    </w:p>
    <w:p>
      <w:pPr>
        <w:spacing w:after="80"/>
        <w:ind w:left="720" w:hanging="360"/>
      </w:pPr>
      <w:r>
        <w:rPr>
          <w:rFonts w:ascii="Times New Roman" w:hAnsi="Times New Roman"/>
          <w:sz w:val="24"/>
        </w:rPr>
        <w:t xml:space="preserve">• </w:t>
      </w:r>
      <w:r>
        <w:rPr>
          <w:rFonts w:ascii="Times New Roman" w:hAnsi="Times New Roman"/>
          <w:sz w:val="24"/>
        </w:rPr>
        <w:t>Validation against business workflows and user stories</w:t>
      </w:r>
    </w:p>
    <w:p>
      <w:pPr>
        <w:pStyle w:val="Heading3"/>
        <w:spacing w:before="160" w:after="120"/>
        <w:ind w:left="0" w:firstLine="0"/>
      </w:pPr>
      <w:r>
        <w:t>13.2 Performance &amp; Load Testing</w:t>
      </w:r>
    </w:p>
    <w:p>
      <w:pPr>
        <w:spacing w:after="80"/>
        <w:ind w:left="720" w:hanging="360"/>
      </w:pPr>
      <w:r>
        <w:rPr>
          <w:rFonts w:ascii="Times New Roman" w:hAnsi="Times New Roman"/>
          <w:sz w:val="24"/>
        </w:rPr>
        <w:t xml:space="preserve">• </w:t>
      </w:r>
      <w:r>
        <w:rPr>
          <w:rFonts w:ascii="Times New Roman" w:hAnsi="Times New Roman"/>
          <w:sz w:val="24"/>
        </w:rPr>
        <w:t>Benchmark comparison between on-prem and AWS target states</w:t>
      </w:r>
    </w:p>
    <w:p>
      <w:pPr>
        <w:spacing w:after="80"/>
        <w:ind w:left="720" w:hanging="360"/>
      </w:pPr>
      <w:r>
        <w:rPr>
          <w:rFonts w:ascii="Times New Roman" w:hAnsi="Times New Roman"/>
          <w:sz w:val="24"/>
        </w:rPr>
        <w:t xml:space="preserve">• </w:t>
      </w:r>
      <w:r>
        <w:rPr>
          <w:rFonts w:ascii="Times New Roman" w:hAnsi="Times New Roman"/>
          <w:sz w:val="24"/>
        </w:rPr>
        <w:t>Stress testing using tools like JMeter or Locust</w:t>
      </w:r>
    </w:p>
    <w:p>
      <w:pPr>
        <w:pStyle w:val="Heading3"/>
        <w:spacing w:before="160" w:after="120"/>
        <w:ind w:left="0" w:firstLine="0"/>
      </w:pPr>
      <w:r>
        <w:t>13.3 Security Testing</w:t>
      </w:r>
    </w:p>
    <w:p>
      <w:pPr>
        <w:spacing w:after="80"/>
        <w:ind w:left="720" w:hanging="360"/>
      </w:pPr>
      <w:r>
        <w:rPr>
          <w:rFonts w:ascii="Times New Roman" w:hAnsi="Times New Roman"/>
          <w:sz w:val="24"/>
        </w:rPr>
        <w:t xml:space="preserve">• </w:t>
      </w:r>
      <w:r>
        <w:rPr>
          <w:rFonts w:ascii="Times New Roman" w:hAnsi="Times New Roman"/>
          <w:sz w:val="24"/>
        </w:rPr>
        <w:t>Validation of IAM policies, encryption, and compliance requirements</w:t>
      </w:r>
    </w:p>
    <w:p>
      <w:pPr>
        <w:spacing w:after="80"/>
        <w:ind w:left="720" w:hanging="360"/>
      </w:pPr>
      <w:r>
        <w:rPr>
          <w:rFonts w:ascii="Times New Roman" w:hAnsi="Times New Roman"/>
          <w:sz w:val="24"/>
        </w:rPr>
        <w:t xml:space="preserve">• </w:t>
      </w:r>
      <w:r>
        <w:rPr>
          <w:rFonts w:ascii="Times New Roman" w:hAnsi="Times New Roman"/>
          <w:sz w:val="24"/>
        </w:rPr>
        <w:t>Optional penetration testing and vulnerability scanning</w:t>
      </w:r>
    </w:p>
    <w:p>
      <w:pPr>
        <w:pStyle w:val="Heading3"/>
        <w:spacing w:before="160" w:after="120"/>
        <w:ind w:left="0" w:firstLine="0"/>
      </w:pPr>
      <w:r>
        <w:t>13.4 Disaster Recovery &amp; Resilience Tests</w:t>
      </w:r>
    </w:p>
    <w:p>
      <w:pPr>
        <w:spacing w:after="80"/>
        <w:ind w:left="720" w:hanging="360"/>
      </w:pPr>
      <w:r>
        <w:rPr>
          <w:rFonts w:ascii="Times New Roman" w:hAnsi="Times New Roman"/>
          <w:sz w:val="24"/>
        </w:rPr>
        <w:t xml:space="preserve">• </w:t>
      </w:r>
      <w:r>
        <w:rPr>
          <w:rFonts w:ascii="Times New Roman" w:hAnsi="Times New Roman"/>
          <w:sz w:val="24"/>
        </w:rPr>
        <w:t>Failover testing (Multi-AZ, Multi-region if applicable)</w:t>
      </w:r>
    </w:p>
    <w:p>
      <w:pPr>
        <w:spacing w:after="80"/>
        <w:ind w:left="720" w:hanging="360"/>
      </w:pPr>
      <w:r>
        <w:rPr>
          <w:rFonts w:ascii="Times New Roman" w:hAnsi="Times New Roman"/>
          <w:sz w:val="24"/>
        </w:rPr>
        <w:t xml:space="preserve">• </w:t>
      </w:r>
      <w:r>
        <w:rPr>
          <w:rFonts w:ascii="Times New Roman" w:hAnsi="Times New Roman"/>
          <w:sz w:val="24"/>
        </w:rPr>
        <w:t>RTO/RPO validation</w:t>
      </w:r>
    </w:p>
    <w:p>
      <w:pPr>
        <w:pStyle w:val="Heading3"/>
        <w:spacing w:before="160" w:after="120"/>
        <w:ind w:left="0" w:firstLine="0"/>
      </w:pPr>
      <w:r>
        <w:t>13.5 User Acceptance Testing (UAT)</w:t>
      </w:r>
    </w:p>
    <w:p>
      <w:pPr>
        <w:spacing w:after="80"/>
        <w:ind w:left="720" w:hanging="360"/>
      </w:pPr>
      <w:r>
        <w:rPr>
          <w:rFonts w:ascii="Times New Roman" w:hAnsi="Times New Roman"/>
          <w:sz w:val="24"/>
        </w:rPr>
        <w:t xml:space="preserve">• </w:t>
      </w:r>
      <w:r>
        <w:rPr>
          <w:rFonts w:ascii="Times New Roman" w:hAnsi="Times New Roman"/>
          <w:sz w:val="24"/>
        </w:rPr>
        <w:t>Performed in coordination with Client stakeholders</w:t>
      </w:r>
    </w:p>
    <w:p>
      <w:pPr>
        <w:spacing w:after="80"/>
        <w:ind w:left="720" w:hanging="360"/>
      </w:pPr>
      <w:r>
        <w:rPr>
          <w:rFonts w:ascii="Times New Roman" w:hAnsi="Times New Roman"/>
          <w:sz w:val="24"/>
        </w:rPr>
        <w:t xml:space="preserve">• </w:t>
      </w:r>
      <w:r>
        <w:rPr>
          <w:rFonts w:ascii="Times New Roman" w:hAnsi="Times New Roman"/>
          <w:sz w:val="24"/>
        </w:rPr>
        <w:t>Test data and environment setup managed by Vendor</w:t>
      </w:r>
    </w:p>
    <w:p>
      <w:pPr>
        <w:pStyle w:val="Heading3"/>
        <w:spacing w:before="160" w:after="120"/>
        <w:ind w:left="0" w:firstLine="0"/>
      </w:pPr>
      <w:r>
        <w:t>13.6 Go-Live Readiness</w:t>
      </w:r>
    </w:p>
    <w:p>
      <w:pPr>
        <w:spacing w:after="160"/>
      </w:pPr>
      <w:r>
        <w:rPr>
          <w:rFonts w:ascii="Times New Roman" w:hAnsi="Times New Roman"/>
          <w:sz w:val="24"/>
        </w:rPr>
        <w:t>A Go-Live Readiness Checklist will be delivered including:</w:t>
      </w:r>
    </w:p>
    <w:p>
      <w:pPr>
        <w:spacing w:after="80"/>
        <w:ind w:left="720" w:hanging="360"/>
      </w:pPr>
      <w:r>
        <w:rPr>
          <w:rFonts w:ascii="Times New Roman" w:hAnsi="Times New Roman"/>
          <w:sz w:val="24"/>
        </w:rPr>
        <w:t xml:space="preserve">• </w:t>
      </w:r>
      <w:r>
        <w:rPr>
          <w:rFonts w:ascii="Times New Roman" w:hAnsi="Times New Roman"/>
          <w:sz w:val="24"/>
        </w:rPr>
        <w:t>Security and compliance sign-offs</w:t>
      </w:r>
    </w:p>
    <w:p>
      <w:pPr>
        <w:spacing w:after="80"/>
        <w:ind w:left="720" w:hanging="360"/>
      </w:pPr>
      <w:r>
        <w:rPr>
          <w:rFonts w:ascii="Times New Roman" w:hAnsi="Times New Roman"/>
          <w:sz w:val="24"/>
        </w:rPr>
        <w:t xml:space="preserve">• </w:t>
      </w:r>
      <w:r>
        <w:rPr>
          <w:rFonts w:ascii="Times New Roman" w:hAnsi="Times New Roman"/>
          <w:sz w:val="24"/>
        </w:rPr>
        <w:t>Functional benchmark validation</w:t>
      </w:r>
    </w:p>
    <w:p>
      <w:pPr>
        <w:spacing w:after="80"/>
        <w:ind w:left="720" w:hanging="360"/>
      </w:pPr>
      <w:r>
        <w:rPr>
          <w:rFonts w:ascii="Times New Roman" w:hAnsi="Times New Roman"/>
          <w:sz w:val="24"/>
        </w:rPr>
        <w:t xml:space="preserve">• </w:t>
      </w:r>
      <w:r>
        <w:rPr>
          <w:rFonts w:ascii="Times New Roman" w:hAnsi="Times New Roman"/>
          <w:sz w:val="24"/>
        </w:rPr>
        <w:t>Data integrity checks</w:t>
      </w:r>
    </w:p>
    <w:p>
      <w:pPr>
        <w:spacing w:after="80"/>
        <w:ind w:left="720" w:hanging="360"/>
      </w:pPr>
      <w:r>
        <w:rPr>
          <w:rFonts w:ascii="Times New Roman" w:hAnsi="Times New Roman"/>
          <w:sz w:val="24"/>
        </w:rPr>
        <w:t xml:space="preserve">• </w:t>
      </w:r>
      <w:r>
        <w:rPr>
          <w:rFonts w:ascii="Times New Roman" w:hAnsi="Times New Roman"/>
          <w:sz w:val="24"/>
        </w:rPr>
        <w:t>Issue log closure</w:t>
      </w:r>
    </w:p>
    <w:p>
      <w:pPr>
        <w:pStyle w:val="Heading2"/>
        <w:spacing w:before="240" w:after="120"/>
        <w:ind w:left="0" w:firstLine="0"/>
      </w:pPr>
      <w:r>
        <w:t>14 Migration Strategy &amp; Tools</w:t>
      </w:r>
    </w:p>
    <w:p>
      <w:pPr>
        <w:spacing w:after="160"/>
      </w:pPr>
      <w:r>
        <w:rPr>
          <w:rFonts w:ascii="Times New Roman" w:hAnsi="Times New Roman"/>
          <w:sz w:val="24"/>
        </w:rPr>
        <w:t>The migration approach will follow AWS’s “7 Rs” migration pattern framework, selecting the appropriate strategy (Rehost, Replatform, Repurchase, Refactor, Retire, Retain) for each workload based on business and technical drivers.</w:t>
      </w:r>
    </w:p>
    <w:p>
      <w:pPr>
        <w:pStyle w:val="Heading3"/>
        <w:spacing w:before="160" w:after="120"/>
        <w:ind w:left="0" w:firstLine="0"/>
      </w:pPr>
      <w:r>
        <w:t>14.1 Example Migration Patterns</w:t>
      </w:r>
    </w:p>
    <w:p>
      <w:pPr>
        <w:spacing w:after="80"/>
        <w:ind w:left="720" w:hanging="360"/>
      </w:pPr>
      <w:r>
        <w:rPr>
          <w:rFonts w:ascii="Times New Roman" w:hAnsi="Times New Roman"/>
          <w:sz w:val="24"/>
        </w:rPr>
        <w:t xml:space="preserve">• </w:t>
      </w:r>
      <w:r>
        <w:rPr>
          <w:rFonts w:ascii="Times New Roman" w:hAnsi="Times New Roman"/>
          <w:b/>
          <w:sz w:val="24"/>
        </w:rPr>
        <w:t>Rehost</w:t>
      </w:r>
      <w:r>
        <w:rPr>
          <w:rFonts w:ascii="Times New Roman" w:hAnsi="Times New Roman"/>
          <w:sz w:val="24"/>
        </w:rPr>
        <w:t xml:space="preserve"> (Lift &amp; Shift) using AWS MGN</w:t>
      </w:r>
    </w:p>
    <w:p>
      <w:pPr>
        <w:spacing w:after="80"/>
        <w:ind w:left="720" w:hanging="360"/>
      </w:pPr>
      <w:r>
        <w:rPr>
          <w:rFonts w:ascii="Times New Roman" w:hAnsi="Times New Roman"/>
          <w:sz w:val="24"/>
        </w:rPr>
        <w:t xml:space="preserve">• </w:t>
      </w:r>
      <w:r>
        <w:rPr>
          <w:rFonts w:ascii="Times New Roman" w:hAnsi="Times New Roman"/>
          <w:b/>
          <w:sz w:val="24"/>
        </w:rPr>
        <w:t>Replatform</w:t>
      </w:r>
      <w:r>
        <w:rPr>
          <w:rFonts w:ascii="Times New Roman" w:hAnsi="Times New Roman"/>
          <w:sz w:val="24"/>
        </w:rPr>
        <w:t xml:space="preserve"> to AWS RDS or containers</w:t>
      </w:r>
    </w:p>
    <w:p>
      <w:pPr>
        <w:spacing w:after="80"/>
        <w:ind w:left="720" w:hanging="360"/>
      </w:pPr>
      <w:r>
        <w:rPr>
          <w:rFonts w:ascii="Times New Roman" w:hAnsi="Times New Roman"/>
          <w:sz w:val="24"/>
        </w:rPr>
        <w:t xml:space="preserve">• </w:t>
      </w:r>
      <w:r>
        <w:rPr>
          <w:rFonts w:ascii="Times New Roman" w:hAnsi="Times New Roman"/>
          <w:b/>
          <w:sz w:val="24"/>
        </w:rPr>
        <w:t>Refactor</w:t>
      </w:r>
      <w:r>
        <w:rPr>
          <w:rFonts w:ascii="Times New Roman" w:hAnsi="Times New Roman"/>
          <w:sz w:val="24"/>
        </w:rPr>
        <w:t xml:space="preserve"> via modularization to AWS Lambda or ECS</w:t>
      </w:r>
    </w:p>
    <w:p>
      <w:pPr>
        <w:pStyle w:val="Heading3"/>
        <w:spacing w:before="160" w:after="120"/>
        <w:ind w:left="0" w:firstLine="0"/>
      </w:pPr>
      <w:r>
        <w:t>14.2 Tooling Overview</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Category</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AWS Tools</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Third-party Options</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Server Migration</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AWS MGN, CloudEndure</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RackWare, Zerto</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Database Migration</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AWS DMS, SCT</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Azure Database Migration Tool</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File/Data Migration</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DataSync, Snowball, S3</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Rsync, Robocopy</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IaC</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CloudFormation, CDK</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Terraform, Pulumi</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CI/CD Automation</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CodePipeline, CodeBuild</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Jenkins, GitHub Actions</w:t>
            </w:r>
          </w:p>
        </w:tc>
      </w:tr>
      <w:tr>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Monitoring</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CloudWatch, X-Ray</w:t>
            </w:r>
          </w:p>
        </w:tc>
        <w:tc>
          <w:tcPr>
            <w:tcW w:type="dxa" w:w="3120"/>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Datadog, New Relic</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4</w:t>
      </w:r>
      <w:r>
        <w:fldChar w:fldCharType="end"/>
      </w:r>
      <w:r>
        <w:rPr>
          <w:rFonts w:ascii="Times New Roman" w:hAnsi="Times New Roman"/>
          <w:sz w:val="24"/>
        </w:rPr>
        <w:t>: Tooling Overview</w:t>
      </w:r>
    </w:p>
    <w:p>
      <w:pPr>
        <w:pStyle w:val="Heading2"/>
        <w:spacing w:before="240" w:after="120"/>
        <w:ind w:left="0" w:firstLine="0"/>
      </w:pPr>
      <w:r>
        <w:t>15 Data Migration Plan</w:t>
      </w:r>
    </w:p>
    <w:p>
      <w:pPr>
        <w:pStyle w:val="Heading3"/>
        <w:spacing w:before="160" w:after="120"/>
        <w:ind w:left="0" w:firstLine="0"/>
      </w:pPr>
      <w:r>
        <w:t>15.1 Data Strategy</w:t>
      </w:r>
    </w:p>
    <w:p>
      <w:pPr>
        <w:spacing w:after="80"/>
        <w:ind w:left="720" w:hanging="360"/>
      </w:pPr>
      <w:r>
        <w:rPr>
          <w:rFonts w:ascii="Times New Roman" w:hAnsi="Times New Roman"/>
          <w:sz w:val="24"/>
        </w:rPr>
        <w:t xml:space="preserve">• </w:t>
      </w:r>
      <w:r>
        <w:rPr>
          <w:rFonts w:ascii="Times New Roman" w:hAnsi="Times New Roman"/>
          <w:sz w:val="24"/>
        </w:rPr>
        <w:t>AWS DMS with CDC (Change Data Capture) for minimal downtime</w:t>
      </w:r>
    </w:p>
    <w:p>
      <w:pPr>
        <w:spacing w:after="80"/>
        <w:ind w:left="720" w:hanging="360"/>
      </w:pPr>
      <w:r>
        <w:rPr>
          <w:rFonts w:ascii="Times New Roman" w:hAnsi="Times New Roman"/>
          <w:sz w:val="24"/>
        </w:rPr>
        <w:t xml:space="preserve">• </w:t>
      </w:r>
      <w:r>
        <w:rPr>
          <w:rFonts w:ascii="Times New Roman" w:hAnsi="Times New Roman"/>
          <w:sz w:val="24"/>
        </w:rPr>
        <w:t>Validation through record counts and checksum comparison</w:t>
      </w:r>
    </w:p>
    <w:p>
      <w:pPr>
        <w:pStyle w:val="Heading3"/>
        <w:spacing w:before="160" w:after="120"/>
        <w:ind w:left="0" w:firstLine="0"/>
      </w:pPr>
      <w:r>
        <w:t>15.2 Security &amp; Compliance</w:t>
      </w:r>
    </w:p>
    <w:p>
      <w:pPr>
        <w:spacing w:after="80"/>
        <w:ind w:left="720" w:hanging="360"/>
      </w:pPr>
      <w:r>
        <w:rPr>
          <w:rFonts w:ascii="Times New Roman" w:hAnsi="Times New Roman"/>
          <w:sz w:val="24"/>
        </w:rPr>
        <w:t xml:space="preserve">• </w:t>
      </w:r>
      <w:r>
        <w:rPr>
          <w:rFonts w:ascii="Times New Roman" w:hAnsi="Times New Roman"/>
          <w:sz w:val="24"/>
        </w:rPr>
        <w:t>KMS encryption enabled in-transit and at-rest</w:t>
      </w:r>
    </w:p>
    <w:p>
      <w:pPr>
        <w:spacing w:after="80"/>
        <w:ind w:left="720" w:hanging="360"/>
      </w:pPr>
      <w:r>
        <w:rPr>
          <w:rFonts w:ascii="Times New Roman" w:hAnsi="Times New Roman"/>
          <w:sz w:val="24"/>
        </w:rPr>
        <w:t xml:space="preserve">• </w:t>
      </w:r>
      <w:r>
        <w:rPr>
          <w:rFonts w:ascii="Times New Roman" w:hAnsi="Times New Roman"/>
          <w:sz w:val="24"/>
        </w:rPr>
        <w:t>Data classification aligned with Client’s internal policies</w:t>
      </w:r>
    </w:p>
    <w:p>
      <w:pPr>
        <w:pStyle w:val="Heading2"/>
        <w:spacing w:before="240" w:after="120"/>
        <w:ind w:left="0" w:firstLine="0"/>
      </w:pPr>
      <w:r>
        <w:t>16 Cutover Plan &amp; Go-Live Readiness</w:t>
      </w:r>
    </w:p>
    <w:p>
      <w:pPr>
        <w:pStyle w:val="Heading3"/>
        <w:spacing w:before="160" w:after="120"/>
        <w:ind w:left="0" w:firstLine="0"/>
      </w:pPr>
      <w:r>
        <w:t>16.1 Cutover Checklist</w:t>
      </w:r>
    </w:p>
    <w:p>
      <w:pPr>
        <w:spacing w:after="80"/>
        <w:ind w:left="720" w:hanging="360"/>
      </w:pPr>
      <w:r>
        <w:rPr>
          <w:rFonts w:ascii="Times New Roman" w:hAnsi="Times New Roman"/>
          <w:sz w:val="24"/>
        </w:rPr>
        <w:t xml:space="preserve">• </w:t>
      </w:r>
      <w:r>
        <w:rPr>
          <w:rFonts w:ascii="Times New Roman" w:hAnsi="Times New Roman"/>
          <w:sz w:val="24"/>
        </w:rPr>
        <w:t>DNS switch sequencing</w:t>
      </w:r>
    </w:p>
    <w:p>
      <w:pPr>
        <w:spacing w:after="80"/>
        <w:ind w:left="720" w:hanging="360"/>
      </w:pPr>
      <w:r>
        <w:rPr>
          <w:rFonts w:ascii="Times New Roman" w:hAnsi="Times New Roman"/>
          <w:sz w:val="24"/>
        </w:rPr>
        <w:t xml:space="preserve">• </w:t>
      </w:r>
      <w:r>
        <w:rPr>
          <w:rFonts w:ascii="Times New Roman" w:hAnsi="Times New Roman"/>
          <w:sz w:val="24"/>
        </w:rPr>
        <w:t>Disable legacy database writes</w:t>
      </w:r>
    </w:p>
    <w:p>
      <w:pPr>
        <w:spacing w:after="80"/>
        <w:ind w:left="720" w:hanging="360"/>
      </w:pPr>
      <w:r>
        <w:rPr>
          <w:rFonts w:ascii="Times New Roman" w:hAnsi="Times New Roman"/>
          <w:sz w:val="24"/>
        </w:rPr>
        <w:t xml:space="preserve">• </w:t>
      </w:r>
      <w:r>
        <w:rPr>
          <w:rFonts w:ascii="Times New Roman" w:hAnsi="Times New Roman"/>
          <w:sz w:val="24"/>
        </w:rPr>
        <w:t>Application and endpoint reconfiguration</w:t>
      </w:r>
    </w:p>
    <w:p>
      <w:pPr>
        <w:spacing w:after="80"/>
        <w:ind w:left="720" w:hanging="360"/>
      </w:pPr>
      <w:r>
        <w:rPr>
          <w:rFonts w:ascii="Times New Roman" w:hAnsi="Times New Roman"/>
          <w:sz w:val="24"/>
        </w:rPr>
        <w:t xml:space="preserve">• </w:t>
      </w:r>
      <w:r>
        <w:rPr>
          <w:rFonts w:ascii="Times New Roman" w:hAnsi="Times New Roman"/>
          <w:sz w:val="24"/>
        </w:rPr>
        <w:t>Health check monitoring</w:t>
      </w:r>
    </w:p>
    <w:p>
      <w:pPr>
        <w:pStyle w:val="Heading3"/>
        <w:spacing w:before="160" w:after="120"/>
        <w:ind w:left="0" w:firstLine="0"/>
      </w:pPr>
      <w:r>
        <w:t>16.2 Rollback Strategy</w:t>
      </w:r>
    </w:p>
    <w:p>
      <w:pPr>
        <w:spacing w:after="80"/>
        <w:ind w:left="720" w:hanging="360"/>
      </w:pPr>
      <w:r>
        <w:rPr>
          <w:rFonts w:ascii="Times New Roman" w:hAnsi="Times New Roman"/>
          <w:sz w:val="24"/>
        </w:rPr>
        <w:t xml:space="preserve">• </w:t>
      </w:r>
      <w:r>
        <w:rPr>
          <w:rFonts w:ascii="Times New Roman" w:hAnsi="Times New Roman"/>
          <w:sz w:val="24"/>
        </w:rPr>
        <w:t>Reverse DNS</w:t>
      </w:r>
    </w:p>
    <w:p>
      <w:pPr>
        <w:spacing w:after="80"/>
        <w:ind w:left="720" w:hanging="360"/>
      </w:pPr>
      <w:r>
        <w:rPr>
          <w:rFonts w:ascii="Times New Roman" w:hAnsi="Times New Roman"/>
          <w:sz w:val="24"/>
        </w:rPr>
        <w:t xml:space="preserve">• </w:t>
      </w:r>
      <w:r>
        <w:rPr>
          <w:rFonts w:ascii="Times New Roman" w:hAnsi="Times New Roman"/>
          <w:sz w:val="24"/>
        </w:rPr>
        <w:t>Re-enable legacy data writes</w:t>
      </w:r>
    </w:p>
    <w:p>
      <w:pPr>
        <w:spacing w:after="80"/>
        <w:ind w:left="720" w:hanging="360"/>
      </w:pPr>
      <w:r>
        <w:rPr>
          <w:rFonts w:ascii="Times New Roman" w:hAnsi="Times New Roman"/>
          <w:sz w:val="24"/>
        </w:rPr>
        <w:t xml:space="preserve">• </w:t>
      </w:r>
      <w:r>
        <w:rPr>
          <w:rFonts w:ascii="Times New Roman" w:hAnsi="Times New Roman"/>
          <w:sz w:val="24"/>
        </w:rPr>
        <w:t>Rollback to earlier snapshot or AMI</w:t>
      </w:r>
    </w:p>
    <w:p>
      <w:pPr>
        <w:pStyle w:val="Heading2"/>
        <w:spacing w:before="240" w:after="120"/>
        <w:ind w:left="0" w:firstLine="0"/>
      </w:pPr>
      <w:r>
        <w:t>17 Handover &amp; Managed Services Transition</w:t>
      </w:r>
    </w:p>
    <w:p>
      <w:pPr>
        <w:pStyle w:val="Heading3"/>
        <w:spacing w:before="160" w:after="120"/>
        <w:ind w:left="0" w:firstLine="0"/>
      </w:pPr>
      <w:r>
        <w:t>17.1 Handover Artifacts</w:t>
      </w:r>
    </w:p>
    <w:p>
      <w:pPr>
        <w:spacing w:after="80"/>
        <w:ind w:left="720" w:hanging="360"/>
      </w:pPr>
      <w:r>
        <w:rPr>
          <w:rFonts w:ascii="Times New Roman" w:hAnsi="Times New Roman"/>
          <w:sz w:val="24"/>
        </w:rPr>
        <w:t xml:space="preserve">• </w:t>
      </w:r>
      <w:r>
        <w:rPr>
          <w:rFonts w:ascii="Times New Roman" w:hAnsi="Times New Roman"/>
          <w:sz w:val="24"/>
        </w:rPr>
        <w:t>As-Built documentation</w:t>
      </w:r>
    </w:p>
    <w:p>
      <w:pPr>
        <w:spacing w:after="80"/>
        <w:ind w:left="720" w:hanging="360"/>
      </w:pPr>
      <w:r>
        <w:rPr>
          <w:rFonts w:ascii="Times New Roman" w:hAnsi="Times New Roman"/>
          <w:sz w:val="24"/>
        </w:rPr>
        <w:t xml:space="preserve">• </w:t>
      </w:r>
      <w:r>
        <w:rPr>
          <w:rFonts w:ascii="Times New Roman" w:hAnsi="Times New Roman"/>
          <w:sz w:val="24"/>
        </w:rPr>
        <w:t>Cloud cost estimation &amp; optimization recommendations</w:t>
      </w:r>
    </w:p>
    <w:p>
      <w:pPr>
        <w:spacing w:after="80"/>
        <w:ind w:left="720" w:hanging="360"/>
      </w:pPr>
      <w:r>
        <w:rPr>
          <w:rFonts w:ascii="Times New Roman" w:hAnsi="Times New Roman"/>
          <w:sz w:val="24"/>
        </w:rPr>
        <w:t xml:space="preserve">• </w:t>
      </w:r>
      <w:r>
        <w:rPr>
          <w:rFonts w:ascii="Times New Roman" w:hAnsi="Times New Roman"/>
          <w:sz w:val="24"/>
        </w:rPr>
        <w:t>IAM and account governance model</w:t>
      </w:r>
    </w:p>
    <w:p>
      <w:pPr>
        <w:spacing w:after="80"/>
        <w:ind w:left="720" w:hanging="360"/>
      </w:pPr>
      <w:r>
        <w:rPr>
          <w:rFonts w:ascii="Times New Roman" w:hAnsi="Times New Roman"/>
          <w:sz w:val="24"/>
        </w:rPr>
        <w:t xml:space="preserve">• </w:t>
      </w:r>
      <w:r>
        <w:rPr>
          <w:rFonts w:ascii="Times New Roman" w:hAnsi="Times New Roman"/>
          <w:sz w:val="24"/>
        </w:rPr>
        <w:t>Monitoring &amp; alert setup reference</w:t>
      </w:r>
    </w:p>
    <w:p>
      <w:pPr>
        <w:pStyle w:val="Heading3"/>
        <w:spacing w:before="160" w:after="120"/>
        <w:ind w:left="0" w:firstLine="0"/>
      </w:pPr>
      <w:r>
        <w:t>17.2 Knowledge Transfer</w:t>
      </w:r>
    </w:p>
    <w:p>
      <w:pPr>
        <w:spacing w:after="80"/>
        <w:ind w:left="720" w:hanging="360"/>
      </w:pPr>
      <w:r>
        <w:rPr>
          <w:rFonts w:ascii="Times New Roman" w:hAnsi="Times New Roman"/>
          <w:sz w:val="24"/>
        </w:rPr>
        <w:t xml:space="preserve">• </w:t>
      </w:r>
      <w:r>
        <w:rPr>
          <w:rFonts w:ascii="Times New Roman" w:hAnsi="Times New Roman"/>
          <w:sz w:val="24"/>
        </w:rPr>
        <w:t>[X] live sessions</w:t>
      </w:r>
    </w:p>
    <w:p>
      <w:pPr>
        <w:spacing w:after="80"/>
        <w:ind w:left="720" w:hanging="360"/>
      </w:pPr>
      <w:r>
        <w:rPr>
          <w:rFonts w:ascii="Times New Roman" w:hAnsi="Times New Roman"/>
          <w:sz w:val="24"/>
        </w:rPr>
        <w:t xml:space="preserve">• </w:t>
      </w:r>
      <w:r>
        <w:rPr>
          <w:rFonts w:ascii="Times New Roman" w:hAnsi="Times New Roman"/>
          <w:sz w:val="24"/>
        </w:rPr>
        <w:t>Recorded materials hosted in shared portal</w:t>
      </w:r>
    </w:p>
    <w:p>
      <w:pPr>
        <w:pStyle w:val="Heading1"/>
        <w:spacing w:before="160" w:after="120"/>
        <w:ind w:left="0" w:firstLine="0"/>
      </w:pPr>
      <w:r>
        <w:t>1 Pricing &amp; Investment Summary</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Cost Category</w:t>
            </w:r>
          </w:p>
        </w:tc>
        <w:tc>
          <w:tcPr>
            <w:tcW w:type="dxa" w:w="152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Year 1</w:t>
            </w:r>
          </w:p>
        </w:tc>
        <w:tc>
          <w:tcPr>
            <w:tcW w:type="dxa" w:w="1333"/>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Year 2</w:t>
            </w:r>
          </w:p>
        </w:tc>
        <w:tc>
          <w:tcPr>
            <w:tcW w:type="dxa" w:w="1333"/>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Year 3</w:t>
            </w:r>
          </w:p>
        </w:tc>
        <w:tc>
          <w:tcPr>
            <w:tcW w:type="dxa" w:w="1894"/>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vAlign w:val="center"/>
            <w:shd w:fill="E8F0F8"/>
          </w:tcPr>
          <w:p>
            <w:pPr>
              <w:spacing w:before="120" w:after="120"/>
            </w:pPr>
            <w:r>
              <w:rPr>
                <w:rFonts w:ascii="Times New Roman" w:hAnsi="Times New Roman"/>
                <w:b/>
                <w:sz w:val="24"/>
              </w:rPr>
              <w:t>3-Year Total</w:t>
            </w:r>
          </w:p>
        </w:tc>
      </w:tr>
      <w:tr>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Professional Services</w:t>
            </w:r>
          </w:p>
        </w:tc>
        <w:tc>
          <w:tcPr>
            <w:tcW w:type="dxa" w:w="152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$364,000</w:t>
            </w:r>
          </w:p>
        </w:tc>
        <w:tc>
          <w:tcPr>
            <w:tcW w:type="dxa" w:w="1333"/>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$0</w:t>
            </w:r>
          </w:p>
        </w:tc>
        <w:tc>
          <w:tcPr>
            <w:tcW w:type="dxa" w:w="1333"/>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$0</w:t>
            </w:r>
          </w:p>
        </w:tc>
        <w:tc>
          <w:tcPr>
            <w:tcW w:type="dxa" w:w="1894"/>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$364,000</w:t>
            </w:r>
          </w:p>
        </w:tc>
      </w:tr>
      <w:tr>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Infrastructure &amp; Materials</w:t>
            </w:r>
          </w:p>
        </w:tc>
        <w:tc>
          <w:tcPr>
            <w:tcW w:type="dxa" w:w="152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$375,532</w:t>
            </w:r>
          </w:p>
        </w:tc>
        <w:tc>
          <w:tcPr>
            <w:tcW w:type="dxa" w:w="1333"/>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$25,282</w:t>
            </w:r>
          </w:p>
        </w:tc>
        <w:tc>
          <w:tcPr>
            <w:tcW w:type="dxa" w:w="1333"/>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$25,282</w:t>
            </w:r>
          </w:p>
        </w:tc>
        <w:tc>
          <w:tcPr>
            <w:tcW w:type="dxa" w:w="1894"/>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sz w:val="24"/>
              </w:rPr>
              <w:t>$426,097</w:t>
            </w:r>
          </w:p>
        </w:tc>
      </w:tr>
      <w:tr>
        <w:tc>
          <w:tcPr>
            <w:tcW w:type="dxa" w:w="3276"/>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TOTAL SOLUTION INVESTMENT</w:t>
            </w:r>
          </w:p>
        </w:tc>
        <w:tc>
          <w:tcPr>
            <w:tcW w:type="dxa" w:w="1525"/>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$739,532</w:t>
            </w:r>
          </w:p>
        </w:tc>
        <w:tc>
          <w:tcPr>
            <w:tcW w:type="dxa" w:w="1333"/>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$25,282</w:t>
            </w:r>
          </w:p>
        </w:tc>
        <w:tc>
          <w:tcPr>
            <w:tcW w:type="dxa" w:w="1333"/>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$25,282</w:t>
            </w:r>
          </w:p>
        </w:tc>
        <w:tc>
          <w:tcPr>
            <w:tcW w:type="dxa" w:w="1894"/>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80" w:after="80"/>
            </w:pPr>
            <w:r>
              <w:rPr>
                <w:rFonts w:ascii="Times New Roman" w:hAnsi="Times New Roman"/>
                <w:b/>
                <w:sz w:val="24"/>
              </w:rPr>
              <w:t>$790,097</w:t>
            </w:r>
          </w:p>
        </w:tc>
      </w:tr>
    </w:tbl>
    <w:p>
      <w:pPr>
        <w:pStyle w:val="Caption"/>
        <w:spacing w:before="60" w:after="240"/>
        <w:jc w:val="center"/>
      </w:pPr>
      <w:r>
        <w:rPr>
          <w:rFonts w:ascii="Times New Roman" w:hAnsi="Times New Roman"/>
          <w:sz w:val="24"/>
        </w:rPr>
        <w:t xml:space="preserve">Table </w:t>
      </w:r>
      <w:r>
        <w:fldChar w:fldCharType="begin"/>
      </w:r>
      <w:r>
        <w:instrText xml:space="preserve"> SEQ Table \* ARABIC </w:instrText>
      </w:r>
      <w:r>
        <w:fldChar w:fldCharType="separate"/>
      </w:r>
      <w:r>
        <w:rPr>
          <w:rFonts w:ascii="Times New Roman" w:hAnsi="Times New Roman"/>
          <w:sz w:val="24"/>
        </w:rPr>
        <w:t>5</w:t>
      </w:r>
      <w:r>
        <w:fldChar w:fldCharType="end"/>
      </w:r>
      <w:r>
        <w:rPr>
          <w:rFonts w:ascii="Times New Roman" w:hAnsi="Times New Roman"/>
          <w:sz w:val="24"/>
        </w:rPr>
        <w:t>: Pricing And Investment Summary</w:t>
      </w:r>
    </w:p>
    <w:p>
      <w:pPr>
        <w:pStyle w:val="Heading2"/>
        <w:spacing w:before="240" w:after="120"/>
        <w:ind w:left="0" w:firstLine="0"/>
      </w:pPr>
      <w:r>
        <w:t>1.1 Cost Components</w:t>
      </w:r>
    </w:p>
    <w:p>
      <w:pPr>
        <w:spacing w:after="160"/>
      </w:pPr>
      <w:r>
        <w:rPr>
          <w:rFonts w:ascii="Times New Roman" w:hAnsi="Times New Roman"/>
          <w:b/>
          <w:sz w:val="24"/>
        </w:rPr>
        <w:t>Professional Services</w:t>
      </w:r>
      <w:r>
        <w:rPr>
          <w:rFonts w:ascii="Times New Roman" w:hAnsi="Times New Roman"/>
          <w:sz w:val="24"/>
        </w:rPr>
        <w:t>: Labor costs for migration assessment, wave planning, landing zone setup, application migration, database migration, testing, cutover, and knowledge transfer. Detailed breakdown provided in level-of-effort-estimate.xlsx.</w:t>
      </w:r>
    </w:p>
    <w:p>
      <w:pPr>
        <w:spacing w:after="160"/>
      </w:pPr>
      <w:r>
        <w:rPr>
          <w:rFonts w:ascii="Times New Roman" w:hAnsi="Times New Roman"/>
          <w:b/>
          <w:sz w:val="24"/>
        </w:rPr>
        <w:t>Infrastructure &amp; Materials</w:t>
      </w:r>
      <w:r>
        <w:rPr>
          <w:rFonts w:ascii="Times New Roman" w:hAnsi="Times New Roman"/>
          <w:sz w:val="24"/>
        </w:rPr>
        <w:t>: AWS cloud services (EC2, RDS, S3, VPN, ALB, CloudFront, ElastiCache), software licenses (Datadog, PagerDuty, Terraform Cloud), and support contracts. Detailed breakdown including AWS service consumption estimates, software licensing, and support contracts is provided in the accompanying Cost Breakdown workbook (cost-breakdown.xlsx).</w:t>
      </w:r>
    </w:p>
    <w:p>
      <w:pPr>
        <w:pStyle w:val="Heading2"/>
        <w:spacing w:before="240" w:after="120"/>
        <w:ind w:left="0" w:firstLine="0"/>
      </w:pPr>
      <w:r>
        <w:t>1.2 Payment Terms</w:t>
      </w:r>
    </w:p>
    <w:p>
      <w:pPr>
        <w:pStyle w:val="Heading3"/>
        <w:spacing w:before="160" w:after="120"/>
        <w:ind w:left="0" w:firstLine="0"/>
      </w:pPr>
      <w:r>
        <w:t>1.2.1 Pricing Model</w:t>
      </w:r>
    </w:p>
    <w:p>
      <w:pPr>
        <w:spacing w:after="80"/>
        <w:ind w:left="720" w:hanging="360"/>
      </w:pPr>
      <w:r>
        <w:rPr>
          <w:rFonts w:ascii="Times New Roman" w:hAnsi="Times New Roman"/>
          <w:sz w:val="24"/>
        </w:rPr>
        <w:t xml:space="preserve">• </w:t>
      </w:r>
      <w:r>
        <w:rPr>
          <w:rFonts w:ascii="Times New Roman" w:hAnsi="Times New Roman"/>
          <w:sz w:val="24"/>
        </w:rPr>
        <w:t>Fixed price or Time &amp; Materials (T&amp;M)</w:t>
      </w:r>
    </w:p>
    <w:p>
      <w:pPr>
        <w:spacing w:after="80"/>
        <w:ind w:left="720" w:hanging="360"/>
      </w:pPr>
      <w:r>
        <w:rPr>
          <w:rFonts w:ascii="Times New Roman" w:hAnsi="Times New Roman"/>
          <w:sz w:val="24"/>
        </w:rPr>
        <w:t xml:space="preserve">• </w:t>
      </w:r>
      <w:r>
        <w:rPr>
          <w:rFonts w:ascii="Times New Roman" w:hAnsi="Times New Roman"/>
          <w:sz w:val="24"/>
        </w:rPr>
        <w:t>Milestone-based payments per Deliverables table</w:t>
      </w:r>
    </w:p>
    <w:p>
      <w:pPr>
        <w:pStyle w:val="Heading3"/>
        <w:spacing w:before="160" w:after="120"/>
        <w:ind w:left="0" w:firstLine="0"/>
      </w:pPr>
      <w:r>
        <w:t>1.2.2 Payment Schedule</w:t>
      </w:r>
    </w:p>
    <w:p>
      <w:pPr>
        <w:spacing w:after="80"/>
        <w:ind w:left="720" w:hanging="360"/>
      </w:pPr>
      <w:r>
        <w:rPr>
          <w:rFonts w:ascii="Times New Roman" w:hAnsi="Times New Roman"/>
          <w:sz w:val="24"/>
        </w:rPr>
        <w:t xml:space="preserve">• </w:t>
      </w:r>
      <w:r>
        <w:rPr>
          <w:rFonts w:ascii="Times New Roman" w:hAnsi="Times New Roman"/>
          <w:sz w:val="24"/>
        </w:rPr>
        <w:t>25% upon SOW execution and project kickoff</w:t>
      </w:r>
    </w:p>
    <w:p>
      <w:pPr>
        <w:spacing w:after="80"/>
        <w:ind w:left="720" w:hanging="360"/>
      </w:pPr>
      <w:r>
        <w:rPr>
          <w:rFonts w:ascii="Times New Roman" w:hAnsi="Times New Roman"/>
          <w:sz w:val="24"/>
        </w:rPr>
        <w:t xml:space="preserve">• </w:t>
      </w:r>
      <w:r>
        <w:rPr>
          <w:rFonts w:ascii="Times New Roman" w:hAnsi="Times New Roman"/>
          <w:sz w:val="24"/>
        </w:rPr>
        <w:t>30% upon completion of Assessment and Wave 1 migration</w:t>
      </w:r>
    </w:p>
    <w:p>
      <w:pPr>
        <w:spacing w:after="80"/>
        <w:ind w:left="720" w:hanging="360"/>
      </w:pPr>
      <w:r>
        <w:rPr>
          <w:rFonts w:ascii="Times New Roman" w:hAnsi="Times New Roman"/>
          <w:sz w:val="24"/>
        </w:rPr>
        <w:t xml:space="preserve">• </w:t>
      </w:r>
      <w:r>
        <w:rPr>
          <w:rFonts w:ascii="Times New Roman" w:hAnsi="Times New Roman"/>
          <w:sz w:val="24"/>
        </w:rPr>
        <w:t>30% upon completion of Wave 2-3 migrations</w:t>
      </w:r>
    </w:p>
    <w:p>
      <w:pPr>
        <w:spacing w:after="80"/>
        <w:ind w:left="720" w:hanging="360"/>
      </w:pPr>
      <w:r>
        <w:rPr>
          <w:rFonts w:ascii="Times New Roman" w:hAnsi="Times New Roman"/>
          <w:sz w:val="24"/>
        </w:rPr>
        <w:t xml:space="preserve">• </w:t>
      </w:r>
      <w:r>
        <w:rPr>
          <w:rFonts w:ascii="Times New Roman" w:hAnsi="Times New Roman"/>
          <w:sz w:val="24"/>
        </w:rPr>
        <w:t>15% upon successful cutover and hypercare completion</w:t>
      </w:r>
    </w:p>
    <w:p>
      <w:pPr>
        <w:pStyle w:val="Heading2"/>
        <w:spacing w:before="240" w:after="120"/>
        <w:ind w:left="0" w:firstLine="0"/>
      </w:pPr>
      <w:r>
        <w:t>1.3 Invoicing &amp; Expenses</w:t>
      </w:r>
    </w:p>
    <w:p>
      <w:pPr>
        <w:pStyle w:val="Heading3"/>
        <w:spacing w:before="160" w:after="120"/>
        <w:ind w:left="0" w:firstLine="0"/>
      </w:pPr>
      <w:r>
        <w:t>1.3.1 Invoicing</w:t>
      </w:r>
    </w:p>
    <w:p>
      <w:pPr>
        <w:spacing w:after="80"/>
        <w:ind w:left="720" w:hanging="360"/>
      </w:pPr>
      <w:r>
        <w:rPr>
          <w:rFonts w:ascii="Times New Roman" w:hAnsi="Times New Roman"/>
          <w:sz w:val="24"/>
        </w:rPr>
        <w:t xml:space="preserve">• </w:t>
      </w:r>
      <w:r>
        <w:rPr>
          <w:rFonts w:ascii="Times New Roman" w:hAnsi="Times New Roman"/>
          <w:sz w:val="24"/>
        </w:rPr>
        <w:t>Monthly invoicing</w:t>
      </w:r>
    </w:p>
    <w:p>
      <w:pPr>
        <w:spacing w:after="80"/>
        <w:ind w:left="720" w:hanging="360"/>
      </w:pPr>
      <w:r>
        <w:rPr>
          <w:rFonts w:ascii="Times New Roman" w:hAnsi="Times New Roman"/>
          <w:sz w:val="24"/>
        </w:rPr>
        <w:t xml:space="preserve">• </w:t>
      </w:r>
      <w:r>
        <w:rPr>
          <w:rFonts w:ascii="Times New Roman" w:hAnsi="Times New Roman"/>
          <w:sz w:val="24"/>
        </w:rPr>
        <w:t>Net 30 payment terms</w:t>
      </w:r>
    </w:p>
    <w:p>
      <w:pPr>
        <w:pStyle w:val="Heading3"/>
        <w:spacing w:before="160" w:after="120"/>
        <w:ind w:left="0" w:firstLine="0"/>
      </w:pPr>
      <w:r>
        <w:t>1.3.2 Expenses</w:t>
      </w:r>
    </w:p>
    <w:p>
      <w:pPr>
        <w:spacing w:after="80"/>
        <w:ind w:left="720" w:hanging="360"/>
      </w:pPr>
      <w:r>
        <w:rPr>
          <w:rFonts w:ascii="Times New Roman" w:hAnsi="Times New Roman"/>
          <w:sz w:val="24"/>
        </w:rPr>
        <w:t xml:space="preserve">• </w:t>
      </w:r>
      <w:r>
        <w:rPr>
          <w:rFonts w:ascii="Times New Roman" w:hAnsi="Times New Roman"/>
          <w:sz w:val="24"/>
        </w:rPr>
        <w:t>Reimbursable at cost with prior approval</w:t>
      </w:r>
    </w:p>
    <w:p>
      <w:pPr>
        <w:pStyle w:val="Heading2"/>
        <w:spacing w:before="240" w:after="120"/>
        <w:ind w:left="0" w:firstLine="0"/>
      </w:pPr>
      <w:r>
        <w:t>1.4 Terms &amp; Conditions</w:t>
      </w:r>
    </w:p>
    <w:p>
      <w:pPr>
        <w:spacing w:after="160"/>
      </w:pPr>
      <w:r>
        <w:rPr>
          <w:rFonts w:ascii="Times New Roman" w:hAnsi="Times New Roman"/>
          <w:sz w:val="24"/>
        </w:rPr>
        <w:t>All migration services will be delivered in accordance with the executed Master Services Agreement (MSA) or equivalent contractual document between Vendor and Client.</w:t>
      </w:r>
    </w:p>
    <w:p>
      <w:pPr>
        <w:pStyle w:val="Heading3"/>
        <w:spacing w:before="160" w:after="120"/>
        <w:ind w:left="0" w:firstLine="0"/>
      </w:pPr>
      <w:r>
        <w:t>1.4.1 Scope Changes</w:t>
      </w:r>
    </w:p>
    <w:p>
      <w:pPr>
        <w:spacing w:after="80"/>
        <w:ind w:left="720" w:hanging="360"/>
      </w:pPr>
      <w:r>
        <w:rPr>
          <w:rFonts w:ascii="Times New Roman" w:hAnsi="Times New Roman"/>
          <w:sz w:val="24"/>
        </w:rPr>
        <w:t xml:space="preserve">• </w:t>
      </w:r>
      <w:r>
        <w:rPr>
          <w:rFonts w:ascii="Times New Roman" w:hAnsi="Times New Roman"/>
          <w:sz w:val="24"/>
        </w:rPr>
        <w:t>Change Requests required for any scope, schedule, or cost adjustments</w:t>
      </w:r>
    </w:p>
    <w:p>
      <w:pPr>
        <w:pStyle w:val="Heading3"/>
        <w:spacing w:before="160" w:after="120"/>
        <w:ind w:left="0" w:firstLine="0"/>
      </w:pPr>
      <w:r>
        <w:t>1.4.2 Intellectual Property</w:t>
      </w:r>
    </w:p>
    <w:p>
      <w:pPr>
        <w:spacing w:after="80"/>
        <w:ind w:left="720" w:hanging="360"/>
      </w:pPr>
      <w:r>
        <w:rPr>
          <w:rFonts w:ascii="Times New Roman" w:hAnsi="Times New Roman"/>
          <w:sz w:val="24"/>
        </w:rPr>
        <w:t xml:space="preserve">• </w:t>
      </w:r>
      <w:r>
        <w:rPr>
          <w:rFonts w:ascii="Times New Roman" w:hAnsi="Times New Roman"/>
          <w:sz w:val="24"/>
        </w:rPr>
        <w:t>Client retains all ownership of migrated assets, applications, and cloud configs</w:t>
      </w:r>
    </w:p>
    <w:p>
      <w:pPr>
        <w:spacing w:after="80"/>
        <w:ind w:left="720" w:hanging="360"/>
      </w:pPr>
      <w:r>
        <w:rPr>
          <w:rFonts w:ascii="Times New Roman" w:hAnsi="Times New Roman"/>
          <w:sz w:val="24"/>
        </w:rPr>
        <w:t xml:space="preserve">• </w:t>
      </w:r>
      <w:r>
        <w:rPr>
          <w:rFonts w:ascii="Times New Roman" w:hAnsi="Times New Roman"/>
          <w:sz w:val="24"/>
        </w:rPr>
        <w:t>Vendor retains proprietary scripts and accelerators unless otherwise agreed</w:t>
      </w:r>
    </w:p>
    <w:p>
      <w:pPr>
        <w:pStyle w:val="Heading3"/>
        <w:spacing w:before="160" w:after="120"/>
        <w:ind w:left="0" w:firstLine="0"/>
      </w:pPr>
      <w:r>
        <w:t>1.4.3 Service Levels</w:t>
      </w:r>
    </w:p>
    <w:p>
      <w:pPr>
        <w:spacing w:after="80"/>
        <w:ind w:left="720" w:hanging="360"/>
      </w:pPr>
      <w:r>
        <w:rPr>
          <w:rFonts w:ascii="Times New Roman" w:hAnsi="Times New Roman"/>
          <w:sz w:val="24"/>
        </w:rPr>
        <w:t xml:space="preserve">• </w:t>
      </w:r>
      <w:r>
        <w:rPr>
          <w:rFonts w:ascii="Times New Roman" w:hAnsi="Times New Roman"/>
          <w:sz w:val="24"/>
        </w:rPr>
        <w:t>Deliverables based on best effort unless otherwise specified in SLAs</w:t>
      </w:r>
    </w:p>
    <w:p>
      <w:pPr>
        <w:spacing w:after="80"/>
        <w:ind w:left="720" w:hanging="360"/>
      </w:pPr>
      <w:r>
        <w:rPr>
          <w:rFonts w:ascii="Times New Roman" w:hAnsi="Times New Roman"/>
          <w:sz w:val="24"/>
        </w:rPr>
        <w:t xml:space="preserve">• </w:t>
      </w:r>
      <w:r>
        <w:rPr>
          <w:rFonts w:ascii="Times New Roman" w:hAnsi="Times New Roman"/>
          <w:sz w:val="24"/>
        </w:rPr>
        <w:t>Hypercare period of [X] weeks included with option to extend via managed services</w:t>
      </w:r>
    </w:p>
    <w:p>
      <w:pPr>
        <w:pStyle w:val="Heading3"/>
        <w:spacing w:before="160" w:after="120"/>
        <w:ind w:left="0" w:firstLine="0"/>
      </w:pPr>
      <w:r>
        <w:t>1.4.4 Liability</w:t>
      </w:r>
    </w:p>
    <w:p>
      <w:pPr>
        <w:spacing w:after="80"/>
        <w:ind w:left="720" w:hanging="360"/>
      </w:pPr>
      <w:r>
        <w:rPr>
          <w:rFonts w:ascii="Times New Roman" w:hAnsi="Times New Roman"/>
          <w:sz w:val="24"/>
        </w:rPr>
        <w:t xml:space="preserve">• </w:t>
      </w:r>
      <w:r>
        <w:rPr>
          <w:rFonts w:ascii="Times New Roman" w:hAnsi="Times New Roman"/>
          <w:sz w:val="24"/>
        </w:rPr>
        <w:t>Liability caps as agreed in MSA</w:t>
      </w:r>
    </w:p>
    <w:p>
      <w:pPr>
        <w:spacing w:after="80"/>
        <w:ind w:left="720" w:hanging="360"/>
      </w:pPr>
      <w:r>
        <w:rPr>
          <w:rFonts w:ascii="Times New Roman" w:hAnsi="Times New Roman"/>
          <w:sz w:val="24"/>
        </w:rPr>
        <w:t xml:space="preserve">• </w:t>
      </w:r>
      <w:r>
        <w:rPr>
          <w:rFonts w:ascii="Times New Roman" w:hAnsi="Times New Roman"/>
          <w:sz w:val="24"/>
        </w:rPr>
        <w:t>Excludes confidentiality or IP infringement breach</w:t>
      </w:r>
    </w:p>
    <w:p>
      <w:pPr>
        <w:pStyle w:val="Heading3"/>
        <w:spacing w:before="160" w:after="120"/>
        <w:ind w:left="0" w:firstLine="0"/>
      </w:pPr>
      <w:r>
        <w:t>1.4.5 Confidentiality</w:t>
      </w:r>
    </w:p>
    <w:p>
      <w:pPr>
        <w:spacing w:after="80"/>
        <w:ind w:left="720" w:hanging="360"/>
      </w:pPr>
      <w:r>
        <w:rPr>
          <w:rFonts w:ascii="Times New Roman" w:hAnsi="Times New Roman"/>
          <w:sz w:val="24"/>
        </w:rPr>
        <w:t xml:space="preserve">• </w:t>
      </w:r>
      <w:r>
        <w:rPr>
          <w:rFonts w:ascii="Times New Roman" w:hAnsi="Times New Roman"/>
          <w:sz w:val="24"/>
        </w:rPr>
        <w:t>All exchanged artifacts under NDA protection</w:t>
      </w:r>
    </w:p>
    <w:p>
      <w:pPr>
        <w:pStyle w:val="Heading3"/>
        <w:spacing w:before="160" w:after="120"/>
        <w:ind w:left="0" w:firstLine="0"/>
      </w:pPr>
      <w:r>
        <w:t>1.4.6 Termination</w:t>
      </w:r>
    </w:p>
    <w:p>
      <w:pPr>
        <w:spacing w:after="80"/>
        <w:ind w:left="720" w:hanging="360"/>
      </w:pPr>
      <w:r>
        <w:rPr>
          <w:rFonts w:ascii="Times New Roman" w:hAnsi="Times New Roman"/>
          <w:sz w:val="24"/>
        </w:rPr>
        <w:t xml:space="preserve">• </w:t>
      </w:r>
      <w:r>
        <w:rPr>
          <w:rFonts w:ascii="Times New Roman" w:hAnsi="Times New Roman"/>
          <w:sz w:val="24"/>
        </w:rPr>
        <w:t>Mutually terminable per MSA terms, subject to payment for completed work</w:t>
      </w:r>
    </w:p>
    <w:p>
      <w:pPr>
        <w:pStyle w:val="Heading3"/>
        <w:spacing w:before="160" w:after="120"/>
        <w:ind w:left="0" w:firstLine="0"/>
      </w:pPr>
      <w:r>
        <w:t>1.4.7 Governing Law</w:t>
      </w:r>
    </w:p>
    <w:p>
      <w:pPr>
        <w:spacing w:after="80"/>
        <w:ind w:left="720" w:hanging="360"/>
      </w:pPr>
      <w:r>
        <w:rPr>
          <w:rFonts w:ascii="Times New Roman" w:hAnsi="Times New Roman"/>
          <w:sz w:val="24"/>
        </w:rPr>
        <w:t xml:space="preserve">• </w:t>
      </w:r>
      <w:r>
        <w:rPr>
          <w:rFonts w:ascii="Times New Roman" w:hAnsi="Times New Roman"/>
          <w:sz w:val="24"/>
        </w:rPr>
        <w:t>Agreement governed under the laws of [State/Region]</w:t>
      </w:r>
    </w:p>
    <w:p>
      <w:pPr>
        <w:pStyle w:val="Heading2"/>
        <w:spacing w:before="240" w:after="120"/>
        <w:ind w:left="0" w:firstLine="0"/>
      </w:pPr>
      <w:r>
        <w:t>1.5 Sign-Off</w:t>
      </w:r>
    </w:p>
    <w:p>
      <w:pPr>
        <w:spacing w:after="240"/>
      </w:pPr>
      <w:r>
        <w:rPr>
          <w:rFonts w:ascii="Times New Roman" w:hAnsi="Times New Roman"/>
          <w:sz w:val="24"/>
        </w:rPr>
        <w:t>By signing below, both parties agree to the scope, approach, and terms outlined in this Statement of Work.</w:t>
      </w:r>
    </w:p>
    <w:tbl>
      <w:tblPr>
        <w:tblW w:type="auto" w:w="0"/>
        <w:tblLayout w:type="fixed"/>
        <w:tblLook w:firstColumn="1" w:firstRow="1" w:lastColumn="0" w:lastRow="0" w:noHBand="0" w:noVBand="1" w:val="04A0"/>
      </w:tblPr>
      <w:tblGrid>
        <w:gridCol w:w="4320"/>
        <w:gridCol w:w="4320"/>
      </w:tblGrid>
      <w:tr>
        <w:tc>
          <w:tcPr>
            <w:tcW w:type="dxa" w:w="4680"/>
            <w:shd w:fill="E8F0F8"/>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120" w:after="120"/>
              <w:jc w:val="center"/>
            </w:pPr>
            <w:r>
              <w:rPr>
                <w:rFonts w:ascii="Times New Roman" w:hAnsi="Times New Roman"/>
                <w:b/>
                <w:sz w:val="24"/>
              </w:rPr>
              <w:t>CLIENT</w:t>
            </w:r>
          </w:p>
        </w:tc>
        <w:tc>
          <w:tcPr>
            <w:tcW w:type="dxa" w:w="4680"/>
            <w:shd w:fill="E8F0F8"/>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120" w:after="120"/>
              <w:jc w:val="center"/>
            </w:pPr>
            <w:r>
              <w:rPr>
                <w:rFonts w:ascii="Times New Roman" w:hAnsi="Times New Roman"/>
                <w:b/>
                <w:sz w:val="24"/>
              </w:rPr>
              <w:t>CONSULTING COMPANY</w:t>
            </w:r>
          </w:p>
        </w:tc>
      </w:tr>
      <w:tr>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Signature: ____________________</w:t>
            </w:r>
          </w:p>
        </w:tc>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Signature: ____________________</w:t>
            </w:r>
          </w:p>
        </w:tc>
      </w:tr>
      <w:tr>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Name: ____________________</w:t>
            </w:r>
          </w:p>
        </w:tc>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Name: ____________________</w:t>
            </w:r>
          </w:p>
        </w:tc>
      </w:tr>
      <w:tr>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Title: ____________________</w:t>
            </w:r>
          </w:p>
        </w:tc>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Title: ____________________</w:t>
            </w:r>
          </w:p>
        </w:tc>
      </w:tr>
      <w:tr>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Date: ____________________</w:t>
            </w:r>
          </w:p>
        </w:tc>
        <w:tc>
          <w:tcPr>
            <w:tcW w:type="dxa" w:w="4680"/>
            <w:vAlign w:val="bottom"/>
            <w:tcBorders>
              <w:top w:val="single" w:sz="1" w:space="0" w:color="CCCCCC"/>
              <w:left w:val="single" w:sz="1" w:space="0" w:color="CCCCCC"/>
              <w:bottom w:val="single" w:sz="1" w:space="0" w:color="CCCCCC"/>
              <w:right w:val="single" w:sz="1" w:space="0" w:color="CCCCCC"/>
            </w:tcBorders>
            <w:tcMar>
              <w:top w:w="80" w:type="dxa"/>
              <w:bottom w:w="80" w:type="dxa"/>
              <w:left w:w="80" w:type="dxa"/>
              <w:right w:w="80" w:type="dxa"/>
            </w:tcMar>
          </w:tcPr>
          <w:p>
            <w:pPr>
              <w:spacing w:before="360" w:after="120"/>
              <w:jc w:val="left"/>
            </w:pPr>
            <w:r>
              <w:rPr>
                <w:rFonts w:ascii="Times New Roman" w:hAnsi="Times New Roman"/>
                <w:sz w:val="24"/>
              </w:rPr>
              <w:t>Date: ____________________</w:t>
            </w:r>
          </w:p>
        </w:tc>
      </w:tr>
    </w:tbl>
    <w:p>
      <w:pPr>
        <w:spacing w:after="240"/>
      </w:pPr>
    </w:p>
    <w:p>
      <w:pPr>
        <w:spacing w:after="160"/>
      </w:pPr>
      <w:r>
        <w:rPr>
          <w:rFonts w:ascii="Times New Roman" w:hAnsi="Times New Roman"/>
          <w:i/>
          <w:sz w:val="24"/>
        </w:rPr>
        <w:t>This Statement of Work constitutes the complete agreement between the parties for the cloud migration services described herein and supersedes all prior negotiations, representations, or agreements relating to the subject matter.</w:t>
      </w:r>
    </w:p>
    <w:p/>
    <w:p/>
    <w:p/>
    <w:p>
      <w:pPr>
        <w:jc w:val="center"/>
      </w:pPr>
      <w:r>
        <w:rPr>
          <w:sz w:val="20"/>
        </w:rPr>
        <w:t>_______________________________________________</w:t>
      </w:r>
    </w:p>
    <w:p/>
    <w:p>
      <w:pPr>
        <w:jc w:val="center"/>
      </w:pPr>
      <w:r>
        <w:drawing>
          <wp:inline xmlns:a="http://schemas.openxmlformats.org/drawingml/2006/main" xmlns:pic="http://schemas.openxmlformats.org/drawingml/2006/picture">
            <wp:extent cx="1371600" cy="293379"/>
            <wp:docPr id="3" name="Picture 3"/>
            <wp:cNvGraphicFramePr>
              <a:graphicFrameLocks noChangeAspect="1"/>
            </wp:cNvGraphicFramePr>
            <a:graphic>
              <a:graphicData uri="http://schemas.openxmlformats.org/drawingml/2006/picture">
                <pic:pic>
                  <pic:nvPicPr>
                    <pic:cNvPr id="0" name="eo-framework-logo-real.png"/>
                    <pic:cNvPicPr/>
                  </pic:nvPicPr>
                  <pic:blipFill>
                    <a:blip r:embed="rId20"/>
                    <a:stretch>
                      <a:fillRect/>
                    </a:stretch>
                  </pic:blipFill>
                  <pic:spPr>
                    <a:xfrm>
                      <a:off x="0" y="0"/>
                      <a:ext cx="1371600" cy="293379"/>
                    </a:xfrm>
                    <a:prstGeom prst="rect"/>
                  </pic:spPr>
                </pic:pic>
              </a:graphicData>
            </a:graphic>
          </wp:inline>
        </w:drawing>
      </w:r>
    </w:p>
    <w:p>
      <w:pPr>
        <w:jc w:val="center"/>
      </w:pPr>
      <w:r>
        <w:rPr>
          <w:rFonts w:ascii="Times New Roman" w:hAnsi="Times New Roman"/>
          <w:sz w:val="20"/>
        </w:rPr>
        <w:t>www.eoframework.org</w:t>
      </w:r>
    </w:p>
    <w:sectPr w:rsidR="00005CD9" w:rsidRPr="00366A13"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05DE7" w14:textId="77777777" w:rsidR="005A2889" w:rsidRDefault="005A2889">
      <w:pPr>
        <w:spacing w:after="0" w:line="240" w:lineRule="auto"/>
      </w:pPr>
      <w:r>
        <w:separator/>
      </w:r>
    </w:p>
  </w:endnote>
  <w:endnote w:type="continuationSeparator" w:id="0">
    <w:p w14:paraId="1E75994A" w14:textId="77777777" w:rsidR="005A2889" w:rsidRDefault="005A2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A819" w14:textId="77777777" w:rsidR="00EE0B07" w:rsidRDefault="00EE0B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jc w:val="left"/>
      <w:tblLayout w:type="fixed"/>
      <w:tblCellMar>
        <w:left w:w="0" w:type="dxa"/>
        <w:right w:w="0" w:type="dxa"/>
      </w:tblCellMar>
      <w:tblLook w:val="04A0" w:firstRow="1" w:lastRow="0" w:firstColumn="1" w:lastColumn="0" w:noHBand="0" w:noVBand="1"/>
      <w:tblW w:w="5000" w:type="pct"/>
    </w:tblPr>
    <w:tblGrid>
      <w:gridCol w:w="4149"/>
      <w:gridCol w:w="346"/>
    </w:tblGrid>
    <w:tr w:rsidR="00BB1A46" w14:paraId="5E16423B" w14:textId="77777777" w:rsidTr="00BB1A46">
      <w:tc>
        <w:tcPr>
          <w:tcW w:w="7200" w:type="dxa"/>
        </w:tcPr>
        <w:p w14:paraId="57293955" w14:textId="346E33A6" w:rsidR="00BB1A46" w:rsidRDefault="00000000">
          <w:pPr>
            <w:pStyle w:val="Footer"/>
            <w:tabs>
              <w:tab w:val="clear" w:pos="4680"/>
              <w:tab w:val="clear" w:pos="9360"/>
            </w:tabs>
            <w:jc w:val="left"/>
            <w:rPr>
              <w:caps/>
              <w:color w:val="4F81BD" w:themeColor="accent1"/>
              <w:sz w:val="18"/>
              <w:szCs w:val="18"/>
            </w:rPr>
          </w:pPr>
          <w:r>
            <w:rPr>
              <w:rFonts w:ascii="Times New Roman" w:hAnsi="Times New Roman"/>
              <w:b/>
              <w:sz w:val="20"/>
            </w:rPr>
            <w:t>AWS Cloud Migration - On-Premise to Cloud</w:t>
          </w:r>
        </w:p>
      </w:tc>
      <w:tc>
        <w:tcPr>
          <w:tcW w:w="2160" w:type="dxa"/>
        </w:tcPr>
        <w:p w14:paraId="63894BCA" w14:textId="77777777" w:rsidR="00BB1A46" w:rsidRDefault="00BB1A46">
          <w:pPr>
            <w:pStyle w:val="Footer"/>
            <w:tabs>
              <w:tab w:val="clear" w:pos="4680"/>
              <w:tab w:val="clear" w:pos="9360"/>
            </w:tabs>
            <w:jc w:val="right"/>
            <w:rPr>
              <w:caps/>
              <w:color w:val="4F81BD" w:themeColor="accent1"/>
              <w:sz w:val="18"/>
              <w:szCs w:val="18"/>
            </w:rPr>
          </w:pPr>
          <w:r>
            <w:rPr>
              <w:rFonts w:ascii="Times New Roman" w:hAnsi="Times New Roman"/>
              <w:sz w:val="20"/>
            </w:rPr>
            <w:t xml:space="preserve">Page </w:t>
          </w:r>
          <w:r>
            <w:rPr>
              <w:rFonts w:ascii="Times New Roman" w:hAnsi="Times New Roman"/>
              <w:sz w:val="20"/>
            </w:rPr>
            <w:fldChar w:fldCharType="begin"/>
            <w:instrText xml:space="preserve">PAGE</w:instrText>
            <w:fldChar w:fldCharType="separate"/>
            <w:t>1</w:t>
            <w:fldChar w:fldCharType="end"/>
          </w:r>
          <w:r>
            <w:rPr>
              <w:rFonts w:ascii="Times New Roman" w:hAnsi="Times New Roman"/>
              <w:sz w:val="20"/>
            </w:rPr>
            <w:t xml:space="preserve"> of </w:t>
          </w:r>
          <w:r>
            <w:rPr>
              <w:rFonts w:ascii="Times New Roman" w:hAnsi="Times New Roman"/>
              <w:sz w:val="20"/>
            </w:rPr>
            <w:fldChar w:fldCharType="begin"/>
            <w:instrText xml:space="preserve">NUMPAGES</w:instrText>
            <w:fldChar w:fldCharType="separate"/>
            <w:t>1</w:t>
            <w:fldChar w:fldCharType="end"/>
          </w:r>
        </w:p>
      </w:tc>
    </w:tr>
  </w:tbl>
  <w:p w14:paraId="76F09A91" w14:textId="57C2BA94" w:rsidR="00005CD9" w:rsidRDefault="00247333" w:rsidP="00247333">
    <w:pPr>
      <w:pStyle w:val="Footer"/>
      <w:tabs>
        <w:tab w:val="clear" w:pos="4680"/>
        <w:tab w:val="clear" w:pos="9360"/>
        <w:tab w:val="left" w:pos="5173"/>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7B40" w14:textId="77777777" w:rsidR="00EE0B07" w:rsidRDefault="00EE0B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29B1C" w14:textId="77777777" w:rsidR="005A2889" w:rsidRDefault="005A2889">
      <w:pPr>
        <w:spacing w:after="0" w:line="240" w:lineRule="auto"/>
      </w:pPr>
      <w:r>
        <w:separator/>
      </w:r>
    </w:p>
  </w:footnote>
  <w:footnote w:type="continuationSeparator" w:id="0">
    <w:p w14:paraId="6A8F51B1" w14:textId="77777777" w:rsidR="005A2889" w:rsidRDefault="005A28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BD89" w14:textId="77777777" w:rsidR="00EE0B07" w:rsidRDefault="00EE0B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9713" w14:textId="77777777" w:rsidR="00EE0B07" w:rsidRDefault="00EE0B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E598" w14:textId="77777777" w:rsidR="00EE0B07" w:rsidRDefault="00EE0B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8147690">
    <w:abstractNumId w:val="8"/>
  </w:num>
  <w:num w:numId="2" w16cid:durableId="800928333">
    <w:abstractNumId w:val="6"/>
  </w:num>
  <w:num w:numId="3" w16cid:durableId="430854252">
    <w:abstractNumId w:val="5"/>
  </w:num>
  <w:num w:numId="4" w16cid:durableId="1743915645">
    <w:abstractNumId w:val="4"/>
  </w:num>
  <w:num w:numId="5" w16cid:durableId="617025869">
    <w:abstractNumId w:val="7"/>
  </w:num>
  <w:num w:numId="6" w16cid:durableId="1799373081">
    <w:abstractNumId w:val="3"/>
  </w:num>
  <w:num w:numId="7" w16cid:durableId="2123449072">
    <w:abstractNumId w:val="2"/>
  </w:num>
  <w:num w:numId="8" w16cid:durableId="286131703">
    <w:abstractNumId w:val="1"/>
  </w:num>
  <w:num w:numId="9" w16cid:durableId="957486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D9"/>
    <w:rsid w:val="00034616"/>
    <w:rsid w:val="0006063C"/>
    <w:rsid w:val="000C085E"/>
    <w:rsid w:val="0015074B"/>
    <w:rsid w:val="00235283"/>
    <w:rsid w:val="00247333"/>
    <w:rsid w:val="0029639D"/>
    <w:rsid w:val="002A029E"/>
    <w:rsid w:val="00315C5D"/>
    <w:rsid w:val="00326F90"/>
    <w:rsid w:val="003313FA"/>
    <w:rsid w:val="00340E3C"/>
    <w:rsid w:val="00366A13"/>
    <w:rsid w:val="0038384A"/>
    <w:rsid w:val="003C0BC0"/>
    <w:rsid w:val="003E1470"/>
    <w:rsid w:val="004A6104"/>
    <w:rsid w:val="00561035"/>
    <w:rsid w:val="005750C8"/>
    <w:rsid w:val="005A2889"/>
    <w:rsid w:val="00607598"/>
    <w:rsid w:val="00655089"/>
    <w:rsid w:val="00680160"/>
    <w:rsid w:val="00701F4D"/>
    <w:rsid w:val="007736B0"/>
    <w:rsid w:val="00803011"/>
    <w:rsid w:val="008A6B38"/>
    <w:rsid w:val="00AA1D8D"/>
    <w:rsid w:val="00B47730"/>
    <w:rsid w:val="00BB1A46"/>
    <w:rsid w:val="00BF114A"/>
    <w:rsid w:val="00CB0664"/>
    <w:rsid w:val="00CD59FC"/>
    <w:rsid w:val="00D7622F"/>
    <w:rsid w:val="00D81FBC"/>
    <w:rsid w:val="00D87BD2"/>
    <w:rsid w:val="00DE72E5"/>
    <w:rsid w:val="00DF78D2"/>
    <w:rsid w:val="00E1498B"/>
    <w:rsid w:val="00E45637"/>
    <w:rsid w:val="00E556D3"/>
    <w:rsid w:val="00E97CDD"/>
    <w:rsid w:val="00EA1CEB"/>
    <w:rsid w:val="00EE0B07"/>
    <w:rsid w:val="00EE6839"/>
    <w:rsid w:val="00EF3FDB"/>
    <w:rsid w:val="00F22111"/>
    <w:rsid w:val="00F22E83"/>
    <w:rsid w:val="00F44D90"/>
    <w:rsid w:val="00F81AA3"/>
    <w:rsid w:val="00FA67F9"/>
    <w:rsid w:val="00FC693F"/>
    <w:rsid w:val="00FE55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EE0313"/>
  <w14:defaultImageDpi w14:val="300"/>
  <w15:docId w15:val="{E76D0337-30F4-4EAC-BB18-9E1944709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366A13"/>
    <w:pPr>
      <w:keepNext/>
      <w:keepLines/>
      <w:spacing w:before="480" w:after="0"/>
      <w:outlineLvl w:val="0"/>
    </w:pPr>
    <w:rPr>
      <w:rFonts w:eastAsiaTheme="majorEastAsia" w:cs="Times New Roman"/>
      <w:b/>
      <w:bCs/>
      <w:smallCaps/>
      <w:color w:val="1F4E78"/>
      <w:sz w:val="32"/>
      <w:szCs w:val="28"/>
    </w:rPr>
  </w:style>
  <w:style w:type="paragraph" w:styleId="Heading2">
    <w:name w:val="heading 2"/>
    <w:basedOn w:val="Normal"/>
    <w:next w:val="Normal"/>
    <w:link w:val="Heading2Char"/>
    <w:uiPriority w:val="9"/>
    <w:unhideWhenUsed/>
    <w:qFormat/>
    <w:rsid w:val="00E556D3"/>
    <w:pPr>
      <w:keepNext/>
      <w:keepLines/>
      <w:spacing w:before="200" w:after="0"/>
      <w:outlineLvl w:val="1"/>
    </w:pPr>
    <w:rPr>
      <w:rFonts w:eastAsiaTheme="majorEastAsia" w:cs="Times New Roman"/>
      <w:b/>
      <w:bCs/>
      <w:smallCaps/>
      <w:sz w:val="26"/>
      <w:szCs w:val="26"/>
    </w:rPr>
  </w:style>
  <w:style w:type="paragraph" w:styleId="Heading3">
    <w:name w:val="heading 3"/>
    <w:basedOn w:val="Normal"/>
    <w:next w:val="Normal"/>
    <w:link w:val="Heading3Char"/>
    <w:uiPriority w:val="9"/>
    <w:unhideWhenUsed/>
    <w:qFormat/>
    <w:rsid w:val="00E556D3"/>
    <w:pPr>
      <w:keepNext/>
      <w:keepLines/>
      <w:spacing w:before="200" w:after="0"/>
      <w:outlineLvl w:val="2"/>
    </w:pPr>
    <w:rPr>
      <w:rFonts w:eastAsiaTheme="majorEastAsia" w:cs="Times New Roman"/>
      <w:b/>
      <w:bCs/>
      <w:i/>
      <w:smallCaps/>
      <w:color w:val="4F81BD" w:themeColor="accent1"/>
    </w:rPr>
  </w:style>
  <w:style w:type="paragraph" w:styleId="Heading4">
    <w:name w:val="heading 4"/>
    <w:basedOn w:val="Normal"/>
    <w:next w:val="Normal"/>
    <w:link w:val="Heading4Char"/>
    <w:uiPriority w:val="9"/>
    <w:unhideWhenUsed/>
    <w:qFormat/>
    <w:rsid w:val="00E556D3"/>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66A13"/>
    <w:rPr>
      <w:rFonts w:ascii="Times New Roman" w:eastAsiaTheme="majorEastAsia" w:hAnsi="Times New Roman" w:cs="Times New Roman"/>
      <w:b/>
      <w:bCs/>
      <w:smallCaps/>
      <w:color w:val="1F4E78"/>
      <w:sz w:val="32"/>
      <w:szCs w:val="28"/>
    </w:rPr>
  </w:style>
  <w:style w:type="character" w:customStyle="1" w:styleId="Heading2Char">
    <w:name w:val="Heading 2 Char"/>
    <w:basedOn w:val="DefaultParagraphFont"/>
    <w:link w:val="Heading2"/>
    <w:uiPriority w:val="9"/>
    <w:rsid w:val="00E556D3"/>
    <w:rPr>
      <w:rFonts w:ascii="Times New Roman" w:eastAsiaTheme="majorEastAsia" w:hAnsi="Times New Roman" w:cs="Times New Roman"/>
      <w:b/>
      <w:bCs/>
      <w:smallCaps/>
      <w:sz w:val="26"/>
      <w:szCs w:val="26"/>
    </w:rPr>
  </w:style>
  <w:style w:type="character" w:customStyle="1" w:styleId="Heading3Char">
    <w:name w:val="Heading 3 Char"/>
    <w:basedOn w:val="DefaultParagraphFont"/>
    <w:link w:val="Heading3"/>
    <w:uiPriority w:val="9"/>
    <w:rsid w:val="00E556D3"/>
    <w:rPr>
      <w:rFonts w:ascii="Times New Roman" w:eastAsiaTheme="majorEastAsia" w:hAnsi="Times New Roman" w:cs="Times New Roman"/>
      <w:b/>
      <w:bCs/>
      <w:i/>
      <w:smallCap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E556D3"/>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66A13"/>
    <w:pPr>
      <w:spacing w:after="100"/>
    </w:pPr>
  </w:style>
  <w:style w:type="paragraph" w:styleId="TOC2">
    <w:name w:val="toc 2"/>
    <w:basedOn w:val="Normal"/>
    <w:next w:val="Normal"/>
    <w:autoRedefine/>
    <w:uiPriority w:val="39"/>
    <w:unhideWhenUsed/>
    <w:rsid w:val="00366A13"/>
    <w:pPr>
      <w:spacing w:after="100"/>
      <w:ind w:left="240"/>
    </w:pPr>
  </w:style>
  <w:style w:type="paragraph" w:styleId="TOC3">
    <w:name w:val="toc 3"/>
    <w:basedOn w:val="Normal"/>
    <w:next w:val="Normal"/>
    <w:autoRedefine/>
    <w:uiPriority w:val="39"/>
    <w:unhideWhenUsed/>
    <w:rsid w:val="00366A13"/>
    <w:pPr>
      <w:spacing w:after="100"/>
      <w:ind w:left="480"/>
    </w:pPr>
  </w:style>
  <w:style w:type="character" w:styleId="Hyperlink">
    <w:name w:val="Hyperlink"/>
    <w:basedOn w:val="DefaultParagraphFont"/>
    <w:uiPriority w:val="99"/>
    <w:unhideWhenUsed/>
    <w:rsid w:val="00366A13"/>
    <w:rPr>
      <w:color w:val="0000FF" w:themeColor="hyperlink"/>
      <w:u w:val="single"/>
    </w:rPr>
  </w:style>
  <w:style w:type="paragraph" w:styleId="TableofFigures">
    <w:name w:val="table of figures"/>
    <w:basedOn w:val="Normal"/>
    <w:next w:val="Normal"/>
    <w:uiPriority w:val="99"/>
    <w:unhideWhenUsed/>
    <w:rsid w:val="00F22E8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19" Type="http://schemas.openxmlformats.org/officeDocument/2006/relationships/image" Target="media/image3.png"/><Relationship Id="rId20"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AB651FE17B4118A9E12D5D9BF7B65D"/>
        <w:category>
          <w:name w:val="General"/>
          <w:gallery w:val="placeholder"/>
        </w:category>
        <w:types>
          <w:type w:val="bbPlcHdr"/>
        </w:types>
        <w:behaviors>
          <w:behavior w:val="content"/>
        </w:behaviors>
        <w:guid w:val="{E50A3D12-1014-42E4-AA33-1E1289FEA5F0}"/>
      </w:docPartPr>
      <w:docPartBody>
        <w:p w:rsidR="00D82C13" w:rsidRDefault="008B73D4" w:rsidP="008B73D4">
          <w:pPr>
            <w:pStyle w:val="EFAB651FE17B4118A9E12D5D9BF7B65D"/>
          </w:pPr>
          <w:r>
            <w:rPr>
              <w:caps/>
              <w:color w:val="156082" w:themeColor="accent1"/>
              <w:sz w:val="18"/>
              <w:szCs w:val="18"/>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815"/>
    <w:rsid w:val="00125C82"/>
    <w:rsid w:val="001C25D9"/>
    <w:rsid w:val="003E1470"/>
    <w:rsid w:val="004A6104"/>
    <w:rsid w:val="004E2F85"/>
    <w:rsid w:val="005A2815"/>
    <w:rsid w:val="005F0D79"/>
    <w:rsid w:val="00803011"/>
    <w:rsid w:val="008B73D4"/>
    <w:rsid w:val="00B57B11"/>
    <w:rsid w:val="00C30097"/>
    <w:rsid w:val="00D7622F"/>
    <w:rsid w:val="00D82C13"/>
    <w:rsid w:val="00E14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FAB651FE17B4118A9E12D5D9BF7B65D">
    <w:name w:val="EFAB651FE17B4118A9E12D5D9BF7B65D"/>
    <w:rsid w:val="008B73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494</Words>
  <Characters>2762</Characters>
  <Application>Microsoft Office Word</Application>
  <DocSecurity>0</DocSecurity>
  <Lines>212</Lines>
  <Paragraphs>191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
  <dc:creator>page o</dc:creator>
  <cp:keywords/>
  <dc:description>generated by python-docx</dc:description>
  <cp:lastModifiedBy>Kishan Siram</cp:lastModifiedBy>
  <cp:revision>21</cp:revision>
  <dcterms:created xsi:type="dcterms:W3CDTF">2013-12-23T23:15:00Z</dcterms:created>
  <dcterms:modified xsi:type="dcterms:W3CDTF">2025-11-11T21:24:00Z</dcterms:modified>
  <cp:category/>
</cp:coreProperties>
</file>