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Statement of Work</w:t>
      </w:r>
      <w:r w:rsidR="005B0B47"/>
      <w:r/>
    </w:p>
    <w:p w14:paraId="5F4CFF81" w14:textId="77777777" w:rsidR="00517E5A" w:rsidRDefault="00000000">
      <w:pPr>
        <w:jc w:val="center"/>
      </w:pPr>
      <w:r>
        <w:rPr>
          <w:b/>
          <w:color w:val="5B6770"/>
          <w:sz w:val="40"/>
        </w:rPr>
        <w:t>[Solution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r>
        <w:rPr>
          <w:rFonts w:ascii="Calibri" w:hAnsi="Calibri"/>
          <w:sz w:val="24"/>
        </w:rPr>
        <w:t>The following objectives define the key business outcomes this engagement will deliver:</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r>
        <w:rPr>
          <w:rFonts w:ascii="Calibri" w:hAnsi="Calibri"/>
          <w:sz w:val="24"/>
        </w:rPr>
        <w:t>The following metrics will be used to measure project success: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activities and deliverables are included in this engagement:</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r>
        <w:rPr>
          <w:rFonts w:ascii="Calibri" w:hAnsi="Calibri"/>
          <w:sz w:val="24"/>
        </w:rPr>
        <w:t>This section outlines all project deliverables and key milestones that will be produced throughout the engagement, along with target dates and acceptance criteria.</w:t>
      </w:r>
    </w:p>
    <w:p>
      <w:pPr>
        <w:pStyle w:val="Heading2"/>
        <w:spacing w:before="240" w:after="120"/>
        <w:ind w:left="0"/>
      </w:pPr>
      <w:r>
        <w:t>4.1 Deliverables</w:t>
      </w:r>
    </w:p>
    <w:p>
      <w:r>
        <w:rPr>
          <w:rFonts w:ascii="Calibri" w:hAnsi="Calibri"/>
          <w:sz w:val="24"/>
        </w:rPr>
        <w:t>The following table summarizes the key deliverables for this engagement, including documentation, training, and operational artifacts that will be handed over to the Client team:</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following milestones represent key checkpoints throughout the project lifecycle, providing clear targets for progress tracking and stakeholder communication: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following matrix defines the responsibility assignments for key project activities, clarifying who is Responsible, Accountable, Consulted, and Informed for each task:</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Task/role</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sz w:val="24"/>
        </w:rPr>
        <w:t>The following team members will be assigned to this engagement:</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following diagram illustrates the high-level architecture for the proposed solution, showing the key components, integrations, and data flows: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sz w:val="24"/>
        </w:rPr>
        <w:t>The following patterns will guide the implementation approach:</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p>
      <w:r>
        <w:rPr>
          <w:rFonts w:ascii="Calibri" w:hAnsi="Calibri"/>
          <w:sz w:val="24"/>
        </w:rPr>
        <w:t>The following table outlines the recommended tooling stack for this implementation, along with alternative options that may be considered based on Client preferences or existing investments: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r>
        <w:rPr>
          <w:rFonts w:ascii="Calibri" w:hAnsi="Calibri"/>
          <w:sz w:val="24"/>
        </w:rPr>
        <w:t>The solution implements comprehensive identity and access controls:</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r>
        <w:rPr>
          <w:rFonts w:ascii="Calibri" w:hAnsi="Calibri"/>
          <w:sz w:val="24"/>
        </w:rPr>
        <w:t>Security monitoring capabilities include:</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r>
        <w:rPr>
          <w:rFonts w:ascii="Calibri" w:hAnsi="Calibri"/>
          <w:sz w:val="24"/>
        </w:rPr>
        <w:t>The solution supports the following compliance frameworks:</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sz w:val="24"/>
        </w:rPr>
        <w:t>Governance processes ensure consistent management of the solution:</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r>
        <w:rPr>
          <w:rFonts w:ascii="Calibri" w:hAnsi="Calibri"/>
          <w:sz w:val="24"/>
        </w:rPr>
        <w:t>Data protection is implemented through encryption at all layers:</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Environment</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The following table provides a comprehensive overview of the total investment required for this engagement, broken down by cost category and displayed across a 3-year period. 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$16,446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$6,382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$22,746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r>
        <w:rPr>
          <w:rFonts w:ascii="Calibri" w:hAnsi="Calibri"/>
          <w:sz w:val="24"/>
        </w:rPr>
        <w:t>Intellectual property rights are defined as follows:</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r>
        <w:rPr>
          <w:rFonts w:ascii="Calibri" w:hAnsi="Calibri"/>
          <w:sz w:val="24"/>
        </w:rPr>
        <w:t>Service level commitments for this engagement:</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r>
        <w:rPr>
          <w:rFonts w:ascii="Calibri" w:hAnsi="Calibri"/>
          <w:sz w:val="24"/>
        </w:rPr>
        <w:t>Liability terms and limitations:</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r>
        <w:rPr>
          <w:rFonts w:ascii="Calibri" w:hAnsi="Calibri"/>
          <w:sz w:val="24"/>
        </w:rPr>
        <w:t>Confidentiality obligations for both parties: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r>
        <w:rPr>
          <w:rFonts w:ascii="Calibri" w:hAnsi="Calibri"/>
          <w:sz w:val="24"/>
        </w:rPr>
        <w:t>Termination provisions for this engagement:</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Statement of Work</w:t>
      <w:tab/>
      <w:tab/>
      <w:t>[Solution Name]</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