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AWS Cloud Migration - On-Premise to Cloud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Roles and Responsibilities (RACI Matrix)</w:t>
        <w:tab/>
        <w:t>4</w:t>
        <w:br/>
      </w:r>
      <w:r>
        <w:rPr>
          <w:rFonts w:ascii="Calibri" w:hAnsi="Calibri"/>
          <w:sz w:val="24"/>
        </w:rPr>
        <w:t>Table 3: Roles and Responsibilities (RACI Matrix)</w:t>
        <w:tab/>
        <w:t>5</w:t>
        <w:br/>
      </w:r>
      <w:r>
        <w:rPr>
          <w:rFonts w:ascii="Calibri" w:hAnsi="Calibri"/>
          <w:sz w:val="24"/>
        </w:rPr>
        <w:t>Table 4: Investment Summary</w:t>
        <w:tab/>
        <w:t>6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AWS Cloud Migration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AWS Cloud Migration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Accelerating Digital Transformation Through Cloud Migration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Eliminate data center costs and redirect capital to business innovation and growth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operational agility with cloud-native scalability and global infrastructure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Modernize legacy applications while reducing technical debt and maintenance burden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migration of production workloads within 6-9 months with zero data loss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30-40% infrastructure cost reduction through right-sizing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AWS landing zone foundation for future cloud-native development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AWS Migration Methodology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Discovery &amp; Assessment (Months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Application discovery and dependency mapping with AWS tools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readiness assessment and wave planning (lift-shift vs replatform)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AWS landing zone design and account structure setup</w:t>
      </w:r>
    </w:p>
    <w:p>
      <w:pPr>
        <w:spacing w:after="160"/>
      </w:pPr>
      <w:r>
        <w:rPr>
          <w:rFonts w:ascii="Calibri" w:hAnsi="Calibri"/>
          <w:b/>
          <w:sz w:val="22"/>
        </w:rPr>
        <w:t>Phase 2: Migration Execution (Months 3-6)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1: Non-critical applications for validation and learning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2: Business-critical applications with tested migration patterns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Wave 3: Complex/legacy applications requiring refactoring</w:t>
      </w:r>
    </w:p>
    <w:p>
      <w:pPr>
        <w:spacing w:after="160"/>
      </w:pPr>
      <w:r>
        <w:rPr>
          <w:rFonts w:ascii="Calibri" w:hAnsi="Calibri"/>
          <w:b/>
          <w:sz w:val="22"/>
        </w:rPr>
        <w:t>Phase 3: Optimization &amp; Handoff (Months 7-9)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Right-sizing based on CloudWatch metrics and usage patterns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Cost optimization through Reserved Instances and Savings Plans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 hardening, compliance validation, and knowledge transfer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table</w:t>
      </w:r>
    </w:p>
    <w:p>
      <w:pPr>
        <w:spacing w:after="160"/>
      </w:pPr>
      <w:r>
        <w:rPr>
          <w:rFonts w:ascii="Calibri" w:hAnsi="Calibri"/>
          <w:b/>
          <w:sz w:val="22"/>
        </w:rPr>
        <w:t>Path to Cloud-First Infrastructure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Assessment Report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1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Landing Zone Source Code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IaC/Code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2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Architect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Runbook &amp; Cutover Plan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3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9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52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37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Month 9</w:t>
            </w:r>
          </w:p>
        </w:tc>
        <w:tc>
          <w:tcPr>
            <w:tcW w:type="dxa" w:w="243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Dependency Mapping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Landing Zone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Connectivity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Wave Design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Database Migration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 Cutover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IAM &amp; Security Config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Support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Discovery &amp; Dependency Mapping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AWS Landing Zone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Network Connectivity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Migration Wave Design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Database Migration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Application Cutover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IAM &amp; Security Config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Monitoring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Hypercare Support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Comprehensive Migration Journey to AWS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46617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6617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Migration Approach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Discovery with Application Discovery Service maps dependencies and complexity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tools: DMS for databases, SMS for servers, DataSync for data transfer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Migration Hub provides centralized tracking across all migration waves</w:t>
      </w:r>
    </w:p>
    <w:p>
      <w:pPr>
        <w:spacing w:after="160"/>
      </w:pPr>
      <w:r>
        <w:rPr>
          <w:rFonts w:ascii="Calibri" w:hAnsi="Calibri"/>
          <w:b/>
          <w:sz w:val="22"/>
        </w:rPr>
        <w:t>AWS Landing Zone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Multi-account structure with Control Tower and Organizations for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Production infrastructure: Auto Scaling EC2, RDS, S3, CloudFront, VPC networking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Site-to-Site VPN enables secure hybrid connectivity during phased migration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AWS Cloud Migration - On-Premise to Cloud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