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Virtual Desktop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Project Deliverables and Acceptance Criteria</w:t>
        <w:tab/>
        <w:t>3</w:t>
        <w:br/>
      </w:r>
      <w:r>
        <w:rPr>
          <w:rFonts w:ascii="Calibri" w:hAnsi="Calibri"/>
          <w:sz w:val="24"/>
        </w:rPr>
        <w:t>Table 2: Roles and Responsibilities (RACI Matrix)</w:t>
        <w:tab/>
        <w:t>4</w:t>
        <w:br/>
      </w:r>
      <w:r>
        <w:rPr>
          <w:rFonts w:ascii="Calibri" w:hAnsi="Calibri"/>
          <w:sz w:val="24"/>
        </w:rPr>
        <w:t>Table 3: Roles and Responsibilities (RACI Matrix)</w:t>
        <w:tab/>
        <w:t>5</w:t>
        <w:br/>
      </w:r>
      <w:r>
        <w:rPr>
          <w:rFonts w:ascii="Calibri" w:hAnsi="Calibri"/>
          <w:sz w:val="24"/>
        </w:rPr>
        <w:t>Table 4: Investment Summary</w:t>
        <w:tab/>
        <w:t>6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Virtual Desktop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Virtual Desktop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Transforming Workforce Mobility with Azure Virtual Desktop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hybrid and remote workforce without compromising security or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infrastructure costs by 30-40% compared to traditional VDI and physical desktops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Modernize desktop management with cloud-based administration and simplified operations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100% user adoption with minimal support calls through intuitive experience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20-30% reduction in IT operational costs through cloud-based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18-24 months through infrastructure consolidation and labor savings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Methodology for Azure Virtual Desktop Success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Discovery &amp; Planning (Weeks 1-2)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Assess current environment and user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AVD architecture with security and performance considerations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Plan network connectivity and application compatibility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Phase 2: Infrastructure Deployment (Weeks 3-5)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Virtual Network and identity infrastructure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D4s_v5 session hosts with Windows 11 Multi-Session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Set up Azure Files Premium and FSLogix profile containers</w:t>
      </w:r>
    </w:p>
    <w:p>
      <w:pPr>
        <w:spacing w:after="160"/>
      </w:pPr>
      <w:r>
        <w:rPr>
          <w:rFonts w:ascii="Calibri" w:hAnsi="Calibri"/>
          <w:b/>
          <w:sz w:val="22"/>
        </w:rPr>
        <w:t>Phase 3: Application Deployment, Migration &amp; Hypercare (Weeks 6-10)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Microsoft 365 and critical business applications with UAT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Migrate users in waves to new AVD environment with application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Provide 30-day hypercare support and transition to operations team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table</w:t>
      </w:r>
    </w:p>
    <w:p>
      <w:pPr>
        <w:spacing w:after="160"/>
      </w:pPr>
      <w:r>
        <w:rPr>
          <w:rFonts w:ascii="Calibri" w:hAnsi="Calibri"/>
          <w:b/>
          <w:sz w:val="22"/>
        </w:rPr>
        <w:t>Path to Modern Workplace Delivery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Secure, Scalable Azure Virtual Desktop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99335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9933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AVD Core Components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Windows 11 Multi-Session VMs with 20 session hosts supporting 100 concurrent users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integration for unified identity and conditional access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FSLogix user profile containers for seamless profile roaming and application persistence</w:t>
      </w:r>
    </w:p>
    <w:p>
      <w:pPr>
        <w:spacing w:after="160"/>
      </w:pPr>
      <w:r>
        <w:rPr>
          <w:rFonts w:ascii="Calibri" w:hAnsi="Calibri"/>
          <w:b/>
          <w:sz w:val="22"/>
        </w:rPr>
        <w:t>Platform Architecture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Network with hub-spoke topology for connectivity and security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Files Premium storage for FSLogix containers and user data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with Log Analytics for comprehensive diagnostics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Intune device management for BYOD and corporate device support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Virtual Desktop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