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1774A57B" w:rsidR="00517E5A" w:rsidRDefault="002B4224">
      <w:pPr>
        <w:pStyle w:val="Title"/>
        <w:jc w:val="center"/>
      </w:pPr>
      <w:r>
        <w:t>Detailed Design Document</w:t>
      </w:r>
      <w:r w:rsidR="005B0B47"/>
      <w:r/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sample-provider - Sample Solution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26,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document provides the comprehensive technical design for the Sample Solution implementation. It covers the target-state architecture, security controls, data design, integration patterns, and implementation approach required for successful deployment.</w:t>
      </w:r>
    </w:p>
    <w:p>
      <w:pPr>
        <w:pStyle w:val="Heading2"/>
        <w:spacing w:before="240" w:after="120"/>
        <w:ind w:left="0"/>
      </w:pPr>
      <w:r>
        <w:t>1.1 Purpose</w:t>
      </w:r>
    </w:p>
    <w:p>
      <w:r>
        <w:rPr>
          <w:rFonts w:ascii="Calibri" w:hAnsi="Calibri"/>
          <w:sz w:val="24"/>
        </w:rPr>
        <w:t>Define the technical architecture and design specifications that will guide the implementation team through deployment, configuration, and validation of the solution.</w:t>
      </w:r>
    </w:p>
    <w:p>
      <w:pPr>
        <w:pStyle w:val="Heading2"/>
        <w:spacing w:before="240" w:after="120"/>
        <w:ind w:left="0"/>
      </w:pPr>
      <w:r>
        <w:t>1.2 Scope</w:t>
      </w:r>
    </w:p>
    <w:p>
      <w:r>
        <w:rPr>
          <w:rFonts w:ascii="Calibri" w:hAnsi="Calibri"/>
          <w:b/>
          <w:sz w:val="24"/>
        </w:rPr>
        <w:t>In-scope: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Core application components and services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storage and processing pipelines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with external systems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controls and compliance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Monitoring and operational procedures</w:t>
      </w:r>
    </w:p>
    <w:p>
      <w:r>
        <w:rPr>
          <w:rFonts w:ascii="Calibri" w:hAnsi="Calibri"/>
          <w:b/>
          <w:sz w:val="24"/>
        </w:rPr>
        <w:t>Out-of-scope: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End-user training (covered in Implementation Guide)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Ongoing support procedures (covered in Operations Runbook)</w:t>
      </w:r>
    </w:p>
    <w:p>
      <w:pPr>
        <w:pStyle w:val="Heading2"/>
        <w:spacing w:before="240" w:after="120"/>
        <w:ind w:left="0"/>
      </w:pPr>
      <w:r>
        <w:t>1.3 Assumptions &amp; Constraints</w:t>
      </w:r>
    </w:p>
    <w:p>
      <w:r>
        <w:rPr>
          <w:rFonts w:ascii="Calibri" w:hAnsi="Calibri"/>
          <w:sz w:val="24"/>
        </w:rPr>
        <w:t>The following assumptions underpin the design and must be validated during implementation.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 provider account with appropriate permissions established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connectivity between on-premises and cloud environments available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team has approved the proposed architecture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4-hour RTO, 1-hour RPO requirements apply</w:t>
      </w:r>
    </w:p>
    <w:p>
      <w:pPr>
        <w:pStyle w:val="Heading2"/>
        <w:spacing w:before="240" w:after="120"/>
        <w:ind w:left="0"/>
      </w:pPr>
      <w:r>
        <w:t>1.4 References</w:t>
      </w:r>
    </w:p>
    <w:p>
      <w:r>
        <w:rPr>
          <w:rFonts w:ascii="Calibri" w:hAnsi="Calibri"/>
          <w:sz w:val="24"/>
        </w:rPr>
        <w:t>This document should be read in conjunction with the following related materials.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Statement of Work (SOW)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Discovery Questionnaire responses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best practices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security standards</w:t>
      </w:r>
    </w:p>
    <w:p>
      <w:pPr>
        <w:pStyle w:val="Heading1"/>
        <w:spacing w:before="160" w:after="120"/>
        <w:ind w:left="0"/>
      </w:pPr>
      <w:r>
        <w:t>2 Business Context</w:t>
      </w:r>
    </w:p>
    <w:p>
      <w:r>
        <w:rPr>
          <w:rFonts w:ascii="Calibri" w:hAnsi="Calibri"/>
          <w:sz w:val="24"/>
        </w:rPr>
        <w:t>This section establishes the business drivers, success criteria, and compliance requirements that shape the technical design decisions.</w:t>
      </w:r>
    </w:p>
    <w:p>
      <w:pPr>
        <w:pStyle w:val="Heading2"/>
        <w:spacing w:before="240" w:after="120"/>
        <w:ind w:left="0"/>
      </w:pPr>
      <w:r>
        <w:t>2.1 Business Drivers</w:t>
      </w:r>
    </w:p>
    <w:p>
      <w:r>
        <w:rPr>
          <w:rFonts w:ascii="Calibri" w:hAnsi="Calibri"/>
          <w:sz w:val="24"/>
        </w:rPr>
        <w:t>The solution addresses the following key business objectives identified during discovery.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Operational Efficiency:</w:t>
      </w:r>
      <w:r>
        <w:rPr>
          <w:rFonts w:ascii="Calibri" w:hAnsi="Calibri"/>
          <w:sz w:val="24"/>
        </w:rPr>
        <w:t xml:space="preserve"> Reduce manual processes through automation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Scalability:</w:t>
      </w:r>
      <w:r>
        <w:rPr>
          <w:rFonts w:ascii="Calibri" w:hAnsi="Calibri"/>
          <w:sz w:val="24"/>
        </w:rPr>
        <w:t xml:space="preserve"> Support 3x growth in transaction volume without re-architecture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Cost Optimization:</w:t>
      </w:r>
      <w:r>
        <w:rPr>
          <w:rFonts w:ascii="Calibri" w:hAnsi="Calibri"/>
          <w:sz w:val="24"/>
        </w:rPr>
        <w:t xml:space="preserve"> Achieve 25% reduction in infrastructure costs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Security Enhancement:</w:t>
      </w:r>
      <w:r>
        <w:rPr>
          <w:rFonts w:ascii="Calibri" w:hAnsi="Calibri"/>
          <w:sz w:val="24"/>
        </w:rPr>
        <w:t xml:space="preserve"> Meet compliance requirements for data protection</w:t>
      </w:r>
    </w:p>
    <w:p>
      <w:pPr>
        <w:pStyle w:val="Heading2"/>
        <w:spacing w:before="240" w:after="120"/>
        <w:ind w:left="0"/>
      </w:pPr>
      <w:r>
        <w:t>2.2 Workload Criticality &amp; SLA Expectations</w:t>
      </w:r>
    </w:p>
    <w:p>
      <w:r>
        <w:rPr>
          <w:rFonts w:ascii="Calibri" w:hAnsi="Calibri"/>
          <w:sz w:val="24"/>
        </w:rPr>
        <w:t>The following service level targets define the operational requirements for the production environment and guide infrastructure sizing decisions.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Metric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Measurement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Priority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Availability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99.9%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Uptime monitoring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Response Time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 2 seconds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APM p95 latency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RTO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hours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 testing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RPO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hour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Backup verification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Service Level Targets</w:t>
      </w:r>
    </w:p>
    <w:p>
      <w:pPr>
        <w:pStyle w:val="Heading2"/>
        <w:spacing w:before="240" w:after="120"/>
        <w:ind w:left="0"/>
      </w:pPr>
      <w:r>
        <w:t>2.3 Compliance &amp; Regulatory Factors</w:t>
      </w:r>
    </w:p>
    <w:p>
      <w:r>
        <w:rPr>
          <w:rFonts w:ascii="Calibri" w:hAnsi="Calibri"/>
          <w:sz w:val="24"/>
        </w:rPr>
        <w:t>The solution must adhere to the following regulatory and compliance requirements.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SOC 2 Type II compliance required for all components handling customer data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residency requirements mandate primary storage in designated region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 required for all administrative actions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at rest and in transit mandatory</w:t>
      </w:r>
    </w:p>
    <w:p>
      <w:pPr>
        <w:pStyle w:val="Heading2"/>
        <w:spacing w:before="240" w:after="120"/>
        <w:ind w:left="0"/>
      </w:pPr>
      <w:r>
        <w:t>2.4 Success Criteria</w:t>
      </w:r>
    </w:p>
    <w:p>
      <w:r>
        <w:rPr>
          <w:rFonts w:ascii="Calibri" w:hAnsi="Calibri"/>
          <w:sz w:val="24"/>
        </w:rPr>
        <w:t>Project success will be measured against the following criteria at go-live.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functional requirements from SOW implemented and validated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targets met under load testing conditions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controls pass third-party assessment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team trained and capable of independent support</w:t>
      </w:r>
    </w:p>
    <w:p>
      <w:pPr>
        <w:pStyle w:val="Heading1"/>
        <w:spacing w:before="160" w:after="120"/>
        <w:ind w:left="0"/>
      </w:pPr>
      <w:r>
        <w:t>3 Current-State Assessment</w:t>
      </w:r>
    </w:p>
    <w:p>
      <w:r>
        <w:rPr>
          <w:rFonts w:ascii="Calibri" w:hAnsi="Calibri"/>
          <w:sz w:val="24"/>
        </w:rPr>
        <w:t>This section documents the existing environment that the solution will integrate with or replace. For greenfield implementations, this section may be marked N/A.</w:t>
      </w:r>
    </w:p>
    <w:p>
      <w:pPr>
        <w:pStyle w:val="Heading2"/>
        <w:spacing w:before="240" w:after="120"/>
        <w:ind w:left="0"/>
      </w:pPr>
      <w:r>
        <w:t>3.1 Application Landscape</w:t>
      </w:r>
    </w:p>
    <w:p>
      <w:r>
        <w:rPr>
          <w:rFonts w:ascii="Calibri" w:hAnsi="Calibri"/>
          <w:sz w:val="24"/>
        </w:rPr>
        <w:t>The current environment consists of legacy applications that will be modernized or integrated with the new solution.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Application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Technology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Status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Legacy CRM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Customer management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On-premises SQL Server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To be integrated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File Server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 storage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Windows File Services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To be migrated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Email System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Communications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Exchange Online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point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Application Inventory</w:t>
      </w:r>
    </w:p>
    <w:p>
      <w:pPr>
        <w:pStyle w:val="Heading2"/>
        <w:spacing w:before="240" w:after="120"/>
        <w:ind w:left="0"/>
      </w:pPr>
      <w:r>
        <w:t>3.2 Infrastructure Inventory</w:t>
      </w:r>
    </w:p>
    <w:p>
      <w:r>
        <w:rPr>
          <w:rFonts w:ascii="Calibri" w:hAnsi="Calibri"/>
          <w:sz w:val="24"/>
        </w:rPr>
        <w:t>The current infrastructure consists of the following components that will be migrated or integrated with the new solution.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Quantity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Specifications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Notes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 Servers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16 vCPU, 64GB RAM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Windows Server 2019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Database Servers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32 vCPU, 128GB RAM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SQL Server 2019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50TB NAS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NetApp FAS series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Infrastructure Inventory</w:t>
      </w:r>
    </w:p>
    <w:p>
      <w:pPr>
        <w:pStyle w:val="Heading2"/>
        <w:spacing w:before="240" w:after="120"/>
        <w:ind w:left="0"/>
      </w:pPr>
      <w:r>
        <w:t>3.3 Dependencies &amp; Integration Points</w:t>
      </w:r>
    </w:p>
    <w:p>
      <w:r>
        <w:rPr>
          <w:rFonts w:ascii="Calibri" w:hAnsi="Calibri"/>
          <w:sz w:val="24"/>
        </w:rPr>
        <w:t>The current environment has the following external dependencies that must be considered during migration.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Active Directory for user authentication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SMTP relay for email notifications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External API for third-party data enrichment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VPN connectivity for remote access</w:t>
      </w:r>
    </w:p>
    <w:p>
      <w:pPr>
        <w:pStyle w:val="Heading2"/>
        <w:spacing w:before="240" w:after="120"/>
        <w:ind w:left="0"/>
      </w:pPr>
      <w:r>
        <w:t>3.4 Network Topology</w:t>
      </w:r>
    </w:p>
    <w:p>
      <w:r>
        <w:rPr>
          <w:rFonts w:ascii="Calibri" w:hAnsi="Calibri"/>
          <w:sz w:val="24"/>
        </w:rPr>
        <w:t>Current network uses traditional hub-and-spoke topology with: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DMZ for public-facing services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Internal network segments for application and database tiers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Site-to-site VPN for branch office connectivity</w:t>
      </w:r>
    </w:p>
    <w:p>
      <w:pPr>
        <w:pStyle w:val="Heading2"/>
        <w:spacing w:before="240" w:after="120"/>
        <w:ind w:left="0"/>
      </w:pPr>
      <w:r>
        <w:t>3.5 Security Posture</w:t>
      </w:r>
    </w:p>
    <w:p>
      <w:r>
        <w:rPr>
          <w:rFonts w:ascii="Calibri" w:hAnsi="Calibri"/>
          <w:sz w:val="24"/>
        </w:rPr>
        <w:t>The current security controls provide a baseline that will be enhanced in the target architecture.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Perimeter firewall with IDS/IPS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Endpoint protection on all servers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Annual penetration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awareness training program</w:t>
      </w:r>
    </w:p>
    <w:p>
      <w:pPr>
        <w:pStyle w:val="Heading2"/>
        <w:spacing w:before="240" w:after="120"/>
        <w:ind w:left="0"/>
      </w:pPr>
      <w:r>
        <w:t>3.6 Performance Baseline</w:t>
      </w:r>
    </w:p>
    <w:p>
      <w:r>
        <w:rPr>
          <w:rFonts w:ascii="Calibri" w:hAnsi="Calibri"/>
          <w:sz w:val="24"/>
        </w:rPr>
        <w:t>Current system performance metrics establish the baseline for improvement targets.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Average response time: 3.5 seconds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Peak concurrent users: 500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Daily transaction volume: 50,000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Database size: 2TB</w:t>
      </w:r>
    </w:p>
    <w:p>
      <w:pPr>
        <w:pStyle w:val="Heading1"/>
        <w:spacing w:before="160" w:after="120"/>
        <w:ind w:left="0"/>
      </w:pPr>
      <w:r>
        <w:t>4 Solution Architecture</w:t>
      </w:r>
    </w:p>
    <w:p>
      <w:r>
        <w:rPr>
          <w:rFonts w:ascii="Calibri" w:hAnsi="Calibri"/>
          <w:sz w:val="24"/>
        </w:rPr>
        <w:t>The target architecture leverages cloud-native services to deliver scalability, reliability, and security while minimizing operational overhead.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0" cy="282892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28289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Solution Architecture</w:t>
      </w:r>
    </w:p>
    <w:p>
      <w:pPr>
        <w:pStyle w:val="Heading2"/>
        <w:spacing w:before="240" w:after="120"/>
        <w:ind w:left="0"/>
      </w:pPr>
      <w:r>
        <w:t>4.1 Architecture Principles</w:t>
      </w:r>
    </w:p>
    <w:p>
      <w:r>
        <w:rPr>
          <w:rFonts w:ascii="Calibri" w:hAnsi="Calibri"/>
          <w:sz w:val="24"/>
        </w:rPr>
        <w:t>The following principles guide all architectural decisions throughout the solution design.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Cloud-Native Design:</w:t>
      </w:r>
      <w:r>
        <w:rPr>
          <w:rFonts w:ascii="Calibri" w:hAnsi="Calibri"/>
          <w:sz w:val="24"/>
        </w:rPr>
        <w:t xml:space="preserve"> Leverage managed services to reduce operational burden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Security by Design:</w:t>
      </w:r>
      <w:r>
        <w:rPr>
          <w:rFonts w:ascii="Calibri" w:hAnsi="Calibri"/>
          <w:sz w:val="24"/>
        </w:rPr>
        <w:t xml:space="preserve"> Implement defense in depth with least privilege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Scalability First:</w:t>
      </w:r>
      <w:r>
        <w:rPr>
          <w:rFonts w:ascii="Calibri" w:hAnsi="Calibri"/>
          <w:sz w:val="24"/>
        </w:rPr>
        <w:t xml:space="preserve"> Design for horizontal scaling from day one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Infrastructure as Code:</w:t>
      </w:r>
      <w:r>
        <w:rPr>
          <w:rFonts w:ascii="Calibri" w:hAnsi="Calibri"/>
          <w:sz w:val="24"/>
        </w:rPr>
        <w:t xml:space="preserve"> All infrastructure defined and version-controlled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Observability:</w:t>
      </w:r>
      <w:r>
        <w:rPr>
          <w:rFonts w:ascii="Calibri" w:hAnsi="Calibri"/>
          <w:sz w:val="24"/>
        </w:rPr>
        <w:t xml:space="preserve"> Comprehensive monitoring, logging, and tracing</w:t>
      </w:r>
    </w:p>
    <w:p>
      <w:pPr>
        <w:pStyle w:val="Heading2"/>
        <w:spacing w:before="240" w:after="120"/>
        <w:ind w:left="0"/>
      </w:pPr>
      <w:r>
        <w:t>4.2 Architecture Patterns</w:t>
      </w:r>
    </w:p>
    <w:p>
      <w:r>
        <w:rPr>
          <w:rFonts w:ascii="Calibri" w:hAnsi="Calibri"/>
          <w:sz w:val="24"/>
        </w:rPr>
        <w:t>The solution implements the following architectural patterns to address scalability and reliability requirements.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Primary Pattern:</w:t>
      </w:r>
      <w:r>
        <w:rPr>
          <w:rFonts w:ascii="Calibri" w:hAnsi="Calibri"/>
          <w:sz w:val="24"/>
        </w:rPr>
        <w:t xml:space="preserve"> Microservices with API Gateway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Pattern:</w:t>
      </w:r>
      <w:r>
        <w:rPr>
          <w:rFonts w:ascii="Calibri" w:hAnsi="Calibri"/>
          <w:sz w:val="24"/>
        </w:rPr>
        <w:t xml:space="preserve"> Event-driven with eventual consistency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Integration Pattern:</w:t>
      </w:r>
      <w:r>
        <w:rPr>
          <w:rFonts w:ascii="Calibri" w:hAnsi="Calibri"/>
          <w:sz w:val="24"/>
        </w:rPr>
        <w:t xml:space="preserve"> Async messaging with dead-letter queues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Deployment Pattern:</w:t>
      </w:r>
      <w:r>
        <w:rPr>
          <w:rFonts w:ascii="Calibri" w:hAnsi="Calibri"/>
          <w:sz w:val="24"/>
        </w:rPr>
        <w:t xml:space="preserve"> Blue-green with automated rollback</w:t>
      </w:r>
    </w:p>
    <w:p>
      <w:pPr>
        <w:pStyle w:val="Heading2"/>
        <w:spacing w:before="240" w:after="120"/>
        <w:ind w:left="0"/>
      </w:pPr>
      <w:r>
        <w:t>4.3 Component Design</w:t>
      </w:r>
    </w:p>
    <w:p>
      <w:r>
        <w:rPr>
          <w:rFonts w:ascii="Calibri" w:hAnsi="Calibri"/>
          <w:sz w:val="24"/>
        </w:rPr>
        <w:t>The solution comprises the following logical components, each with specific responsibilities and scaling characteristics.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Technology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Dependencies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Scaling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API Gateway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Request routing, rate limiting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Managed API Gateway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Auth Service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Managed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Auth Service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Authentication, authorization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OAuth 2.0 / OIDC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Identity Provider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Horizontal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Core Service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Business logic processing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Container runtime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Database, Cache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Horizontal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Service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persistence, queries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Managed SQL Database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None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Vertical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Message Broker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Async event processing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Managed Queue Service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None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Managed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Cache Layer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Session and data caching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Managed Redis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None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Horizontal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Solution Components</w:t>
      </w:r>
    </w:p>
    <w:p>
      <w:pPr>
        <w:pStyle w:val="Heading2"/>
        <w:spacing w:before="240" w:after="120"/>
        <w:ind w:left="0"/>
      </w:pPr>
      <w:r>
        <w:t>4.4 Technology Stack</w:t>
      </w:r>
    </w:p>
    <w:p>
      <w:r>
        <w:rPr>
          <w:rFonts w:ascii="Calibri" w:hAnsi="Calibri"/>
          <w:sz w:val="24"/>
        </w:rPr>
        <w:t>The technology stack has been selected based on requirements for scalability, maintainability, and alignment with organizational standards.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Layer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Technology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Rationale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Compute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Containers on managed orchestration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Portability, scaling, cost optimization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Managed relational database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 availability, automated backups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Object storage with lifecycle policies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Cost optimization, durability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Virtual private cloud with subnets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Isolation, security controls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Cloud-native monitoring suite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Integrated metrics, logs, traces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5</w:t>
      </w:r>
      <w:r>
        <w:fldChar w:fldCharType="end"/>
      </w:r>
      <w:r>
        <w:rPr>
          <w:rFonts w:ascii="Calibri" w:hAnsi="Calibri"/>
          <w:sz w:val="20"/>
        </w:rPr>
        <w:t>: Technology Stack</w:t>
      </w:r>
    </w:p>
    <w:p>
      <w:pPr>
        <w:pStyle w:val="Heading1"/>
        <w:spacing w:before="160" w:after="120"/>
        <w:ind w:left="0"/>
      </w:pPr>
      <w:r>
        <w:t>5 Security &amp; Compliance</w:t>
      </w:r>
    </w:p>
    <w:p>
      <w:r>
        <w:rPr>
          <w:rFonts w:ascii="Calibri" w:hAnsi="Calibri"/>
          <w:sz w:val="24"/>
        </w:rPr>
        <w:t>This section details the security controls, compliance mappings, and governance mechanisms implemented in the solution.</w:t>
      </w:r>
    </w:p>
    <w:p>
      <w:pPr>
        <w:pStyle w:val="Heading2"/>
        <w:spacing w:before="240" w:after="120"/>
        <w:ind w:left="0"/>
      </w:pPr>
      <w:r>
        <w:t>5.1 Identity &amp; Access Management</w:t>
      </w:r>
    </w:p>
    <w:p>
      <w:r>
        <w:rPr>
          <w:rFonts w:ascii="Calibri" w:hAnsi="Calibri"/>
          <w:sz w:val="24"/>
        </w:rPr>
        <w:t>Access control follows a zero-trust model with centralized identity management.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Authentication:</w:t>
      </w:r>
      <w:r>
        <w:rPr>
          <w:rFonts w:ascii="Calibri" w:hAnsi="Calibri"/>
          <w:sz w:val="24"/>
        </w:rPr>
        <w:t xml:space="preserve"> OAuth 2.0 with OpenID Connect for user authentication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Authorization:</w:t>
      </w:r>
      <w:r>
        <w:rPr>
          <w:rFonts w:ascii="Calibri" w:hAnsi="Calibri"/>
          <w:sz w:val="24"/>
        </w:rPr>
        <w:t xml:space="preserve"> Role-based access control (RBAC) with least privilege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MFA:</w:t>
      </w:r>
      <w:r>
        <w:rPr>
          <w:rFonts w:ascii="Calibri" w:hAnsi="Calibri"/>
          <w:sz w:val="24"/>
        </w:rPr>
        <w:t xml:space="preserve"> Required for all administrative access and sensitive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Service Accounts:</w:t>
      </w:r>
      <w:r>
        <w:rPr>
          <w:rFonts w:ascii="Calibri" w:hAnsi="Calibri"/>
          <w:sz w:val="24"/>
        </w:rPr>
        <w:t xml:space="preserve"> Managed identities with automatic credential rotation</w:t>
      </w:r>
    </w:p>
    <w:p>
      <w:pPr>
        <w:pStyle w:val="Heading3"/>
        <w:spacing w:before="160" w:after="120"/>
        <w:ind w:left="0"/>
      </w:pPr>
      <w:r>
        <w:t>5.1.1 Role Definitions</w:t>
      </w:r>
    </w:p>
    <w:p>
      <w:r>
        <w:rPr>
          <w:rFonts w:ascii="Calibri" w:hAnsi="Calibri"/>
          <w:sz w:val="24"/>
        </w:rPr>
        <w:t>The following roles define access levels within the system, following the principle of least privilege.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Role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Permissions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Scope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Administrator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Full system access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resources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Operator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Read access, limited write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environment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Developer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Full access to non-production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Development, staging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Auditor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Read-only access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environments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6</w:t>
      </w:r>
      <w:r>
        <w:fldChar w:fldCharType="end"/>
      </w:r>
      <w:r>
        <w:rPr>
          <w:rFonts w:ascii="Calibri" w:hAnsi="Calibri"/>
          <w:sz w:val="20"/>
        </w:rPr>
        <w:t>: Role Permissions</w:t>
      </w:r>
    </w:p>
    <w:p>
      <w:pPr>
        <w:pStyle w:val="Heading2"/>
        <w:spacing w:before="240" w:after="120"/>
        <w:ind w:left="0"/>
      </w:pPr>
      <w:r>
        <w:t>5.2 Secrets Management</w:t>
      </w:r>
    </w:p>
    <w:p>
      <w:r>
        <w:rPr>
          <w:rFonts w:ascii="Calibri" w:hAnsi="Calibri"/>
          <w:sz w:val="24"/>
        </w:rPr>
        <w:t>All sensitive credentials are managed through a centralized secrets management solution.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secrets manager for all credentials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Automatic rotation for database credentials (90-day cycle)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API keys stored with versioning and access logging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secrets in code repositories or configuration files</w:t>
      </w:r>
    </w:p>
    <w:p>
      <w:pPr>
        <w:pStyle w:val="Heading2"/>
        <w:spacing w:before="240" w:after="120"/>
        <w:ind w:left="0"/>
      </w:pPr>
      <w:r>
        <w:t>5.3 Network Security</w:t>
      </w:r>
    </w:p>
    <w:p>
      <w:r>
        <w:rPr>
          <w:rFonts w:ascii="Calibri" w:hAnsi="Calibri"/>
          <w:sz w:val="24"/>
        </w:rPr>
        <w:t>Network security implements defense-in-depth with multiple layers of protection.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Segmentation:</w:t>
      </w:r>
      <w:r>
        <w:rPr>
          <w:rFonts w:ascii="Calibri" w:hAnsi="Calibri"/>
          <w:sz w:val="24"/>
        </w:rPr>
        <w:t xml:space="preserve"> Separate subnets for web, application, and data tiers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Firewall:</w:t>
      </w:r>
      <w:r>
        <w:rPr>
          <w:rFonts w:ascii="Calibri" w:hAnsi="Calibri"/>
          <w:sz w:val="24"/>
        </w:rPr>
        <w:t xml:space="preserve"> Network security groups with deny-by-default rules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WAF:</w:t>
      </w:r>
      <w:r>
        <w:rPr>
          <w:rFonts w:ascii="Calibri" w:hAnsi="Calibri"/>
          <w:sz w:val="24"/>
        </w:rPr>
        <w:t xml:space="preserve"> Web application firewall for public endpoints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DDoS Protection:</w:t>
      </w:r>
      <w:r>
        <w:rPr>
          <w:rFonts w:ascii="Calibri" w:hAnsi="Calibri"/>
          <w:sz w:val="24"/>
        </w:rPr>
        <w:t xml:space="preserve"> Cloud provider DDoS mitigation service</w:t>
      </w:r>
    </w:p>
    <w:p>
      <w:pPr>
        <w:pStyle w:val="Heading2"/>
        <w:spacing w:before="240" w:after="120"/>
        <w:ind w:left="0"/>
      </w:pPr>
      <w:r>
        <w:t>5.4 Data Protection</w:t>
      </w:r>
    </w:p>
    <w:p>
      <w:r>
        <w:rPr>
          <w:rFonts w:ascii="Calibri" w:hAnsi="Calibri"/>
          <w:sz w:val="24"/>
        </w:rPr>
        <w:t>Data protection controls ensure confidentiality and integrity throughout the data lifecycle.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Encryption at Rest:</w:t>
      </w:r>
      <w:r>
        <w:rPr>
          <w:rFonts w:ascii="Calibri" w:hAnsi="Calibri"/>
          <w:sz w:val="24"/>
        </w:rPr>
        <w:t xml:space="preserve"> AES-256 for all data stores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Encryption in Transit:</w:t>
      </w:r>
      <w:r>
        <w:rPr>
          <w:rFonts w:ascii="Calibri" w:hAnsi="Calibri"/>
          <w:sz w:val="24"/>
        </w:rPr>
        <w:t xml:space="preserve"> TLS 1.3 for all communications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Key Management:</w:t>
      </w:r>
      <w:r>
        <w:rPr>
          <w:rFonts w:ascii="Calibri" w:hAnsi="Calibri"/>
          <w:sz w:val="24"/>
        </w:rPr>
        <w:t xml:space="preserve"> Cloud-managed keys with customer-controlled rotation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Masking:</w:t>
      </w:r>
      <w:r>
        <w:rPr>
          <w:rFonts w:ascii="Calibri" w:hAnsi="Calibri"/>
          <w:sz w:val="24"/>
        </w:rPr>
        <w:t xml:space="preserve"> PII masked in non-production environments</w:t>
      </w:r>
    </w:p>
    <w:p>
      <w:pPr>
        <w:pStyle w:val="Heading2"/>
        <w:spacing w:before="240" w:after="120"/>
        <w:ind w:left="0"/>
      </w:pPr>
      <w:r>
        <w:t>5.5 Compliance Mappings</w:t>
      </w:r>
    </w:p>
    <w:p>
      <w:r>
        <w:rPr>
          <w:rFonts w:ascii="Calibri" w:hAnsi="Calibri"/>
          <w:sz w:val="24"/>
        </w:rPr>
        <w:t>The following table maps compliance requirements to specific implementation controls.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Framework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Requirement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Implementation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SOC 2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Access control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RBAC, MFA, audit logging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SOC 2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Encryption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AES-256 at rest, TLS 1.3 in transit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GDPR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residency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region deployment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GDPR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Right to erasure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Automated data deletion workflows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7</w:t>
      </w:r>
      <w:r>
        <w:fldChar w:fldCharType="end"/>
      </w:r>
      <w:r>
        <w:rPr>
          <w:rFonts w:ascii="Calibri" w:hAnsi="Calibri"/>
          <w:sz w:val="20"/>
        </w:rPr>
        <w:t>: Compliance Requirements</w:t>
      </w:r>
    </w:p>
    <w:p>
      <w:pPr>
        <w:pStyle w:val="Heading2"/>
        <w:spacing w:before="240" w:after="120"/>
        <w:ind w:left="0"/>
      </w:pPr>
      <w:r>
        <w:t>5.6 Audit Logging &amp; SIEM Integration</w:t>
      </w:r>
    </w:p>
    <w:p>
      <w:r>
        <w:rPr>
          <w:rFonts w:ascii="Calibri" w:hAnsi="Calibri"/>
          <w:sz w:val="24"/>
        </w:rPr>
        <w:t>Comprehensive audit logging supports security monitoring and compliance requirements.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authentication events logged with user context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Administrative actions captured with before/after state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 retention: 90 days hot, 1 year cold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SIEM integration via standard log forwarding</w:t>
      </w:r>
    </w:p>
    <w:p>
      <w:pPr>
        <w:pStyle w:val="Heading1"/>
        <w:spacing w:before="160" w:after="120"/>
        <w:ind w:left="0"/>
      </w:pPr>
      <w:r>
        <w:t>6 Data Architecture</w:t>
      </w:r>
    </w:p>
    <w:p>
      <w:r>
        <w:rPr>
          <w:rFonts w:ascii="Calibri" w:hAnsi="Calibri"/>
          <w:sz w:val="24"/>
        </w:rPr>
        <w:t>This section defines the data model, storage strategy, migration approach, and governance controls for the solution.</w:t>
      </w:r>
    </w:p>
    <w:p>
      <w:pPr>
        <w:pStyle w:val="Heading2"/>
        <w:spacing w:before="240" w:after="120"/>
        <w:ind w:left="0"/>
      </w:pPr>
      <w:r>
        <w:t>6.1 Data Model</w:t>
      </w:r>
    </w:p>
    <w:p>
      <w:pPr>
        <w:pStyle w:val="Heading3"/>
        <w:spacing w:before="160" w:after="120"/>
        <w:ind w:left="0"/>
      </w:pPr>
      <w:r>
        <w:t>6.1.1 Conceptual Model</w:t>
      </w:r>
    </w:p>
    <w:p>
      <w:r>
        <w:rPr>
          <w:rFonts w:ascii="Calibri" w:hAnsi="Calibri"/>
          <w:sz w:val="24"/>
        </w:rPr>
        <w:t>The solution manages the following core entities: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Users:</w:t>
      </w:r>
      <w:r>
        <w:rPr>
          <w:rFonts w:ascii="Calibri" w:hAnsi="Calibri"/>
          <w:sz w:val="24"/>
        </w:rPr>
        <w:t xml:space="preserve"> System users with roles and permissions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Transactions:</w:t>
      </w:r>
      <w:r>
        <w:rPr>
          <w:rFonts w:ascii="Calibri" w:hAnsi="Calibri"/>
          <w:sz w:val="24"/>
        </w:rPr>
        <w:t xml:space="preserve"> Business transactions with full audit trail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Documents:</w:t>
      </w:r>
      <w:r>
        <w:rPr>
          <w:rFonts w:ascii="Calibri" w:hAnsi="Calibri"/>
          <w:sz w:val="24"/>
        </w:rPr>
        <w:t xml:space="preserve"> Uploaded and generated documents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Configurations:</w:t>
      </w:r>
      <w:r>
        <w:rPr>
          <w:rFonts w:ascii="Calibri" w:hAnsi="Calibri"/>
          <w:sz w:val="24"/>
        </w:rPr>
        <w:t xml:space="preserve"> System settings and preferences</w:t>
      </w:r>
    </w:p>
    <w:p>
      <w:pPr>
        <w:pStyle w:val="Heading3"/>
        <w:spacing w:before="160" w:after="120"/>
        <w:ind w:left="0"/>
      </w:pPr>
      <w:r>
        <w:t>6.1.2 Logical Model</w:t>
      </w:r>
    </w:p>
    <w:p>
      <w:r>
        <w:rPr>
          <w:rFonts w:ascii="Calibri" w:hAnsi="Calibri"/>
          <w:sz w:val="24"/>
        </w:rPr>
        <w:t>The logical data model defines the primary entities and their relationships within the system.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Entity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Key Attributes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Relationships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Volume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ID, email, role, status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Has many Transactions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10,000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Transaction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ID, user_id, type, amount, status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Belongs to User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1M/year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ID, transaction_id, type, path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Belongs to Transaction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500K/year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AuditLog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ID, entity, action, user_id, timestamp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References all entities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10M/year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8</w:t>
      </w:r>
      <w:r>
        <w:fldChar w:fldCharType="end"/>
      </w:r>
      <w:r>
        <w:rPr>
          <w:rFonts w:ascii="Calibri" w:hAnsi="Calibri"/>
          <w:sz w:val="20"/>
        </w:rPr>
        <w:t>: Data Model Entities</w:t>
      </w:r>
    </w:p>
    <w:p>
      <w:pPr>
        <w:pStyle w:val="Heading2"/>
        <w:spacing w:before="240" w:after="120"/>
        <w:ind w:left="0"/>
      </w:pPr>
      <w:r>
        <w:t>6.2 Data Flow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b/>
          <w:sz w:val="24"/>
        </w:rPr>
        <w:t>Ingestion:</w:t>
      </w:r>
      <w:r>
        <w:rPr>
          <w:rFonts w:ascii="Calibri" w:hAnsi="Calibri"/>
          <w:sz w:val="24"/>
        </w:rPr>
        <w:t xml:space="preserve"> Data enters via API Gateway or batch file upload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b/>
          <w:sz w:val="24"/>
        </w:rPr>
        <w:t>Validation:</w:t>
      </w:r>
      <w:r>
        <w:rPr>
          <w:rFonts w:ascii="Calibri" w:hAnsi="Calibri"/>
          <w:sz w:val="24"/>
        </w:rPr>
        <w:t xml:space="preserve"> Input validation and business rules applied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b/>
          <w:sz w:val="24"/>
        </w:rPr>
        <w:t>Processing:</w:t>
      </w:r>
      <w:r>
        <w:rPr>
          <w:rFonts w:ascii="Calibri" w:hAnsi="Calibri"/>
          <w:sz w:val="24"/>
        </w:rPr>
        <w:t xml:space="preserve"> Business logic transforms and enriches data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b/>
          <w:sz w:val="24"/>
        </w:rPr>
        <w:t>Storage:</w:t>
      </w:r>
      <w:r>
        <w:rPr>
          <w:rFonts w:ascii="Calibri" w:hAnsi="Calibri"/>
          <w:sz w:val="24"/>
        </w:rPr>
        <w:t xml:space="preserve"> Persisted to appropriate data store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b/>
          <w:sz w:val="24"/>
        </w:rPr>
        <w:t>Distribution:</w:t>
      </w:r>
      <w:r>
        <w:rPr>
          <w:rFonts w:ascii="Calibri" w:hAnsi="Calibri"/>
          <w:sz w:val="24"/>
        </w:rPr>
        <w:t xml:space="preserve"> Events published for downstream consumers</w:t>
      </w:r>
    </w:p>
    <w:p>
      <w:pPr>
        <w:pStyle w:val="Heading2"/>
        <w:spacing w:before="240" w:after="120"/>
        <w:ind w:left="0"/>
      </w:pPr>
      <w:r>
        <w:t>6.3 Data Migration Strategy</w:t>
      </w:r>
    </w:p>
    <w:p>
      <w:r>
        <w:rPr>
          <w:rFonts w:ascii="Calibri" w:hAnsi="Calibri"/>
          <w:sz w:val="24"/>
        </w:rPr>
        <w:t>Data migration follows a phased approach to minimize risk and ensure data integrity.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Approach:</w:t>
      </w:r>
      <w:r>
        <w:rPr>
          <w:rFonts w:ascii="Calibri" w:hAnsi="Calibri"/>
          <w:sz w:val="24"/>
        </w:rPr>
        <w:t xml:space="preserve"> Phased migration with parallel run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Validation:</w:t>
      </w:r>
      <w:r>
        <w:rPr>
          <w:rFonts w:ascii="Calibri" w:hAnsi="Calibri"/>
          <w:sz w:val="24"/>
        </w:rPr>
        <w:t xml:space="preserve"> Row counts, checksums, and business rule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Rollback:</w:t>
      </w:r>
      <w:r>
        <w:rPr>
          <w:rFonts w:ascii="Calibri" w:hAnsi="Calibri"/>
          <w:sz w:val="24"/>
        </w:rPr>
        <w:t xml:space="preserve"> Full rollback capability during parallel run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Cutover:</w:t>
      </w:r>
      <w:r>
        <w:rPr>
          <w:rFonts w:ascii="Calibri" w:hAnsi="Calibri"/>
          <w:sz w:val="24"/>
        </w:rPr>
        <w:t xml:space="preserve"> Big-bang cutover after validation complete</w:t>
      </w:r>
    </w:p>
    <w:p>
      <w:pPr>
        <w:pStyle w:val="Heading2"/>
        <w:spacing w:before="240" w:after="120"/>
        <w:ind w:left="0"/>
      </w:pPr>
      <w:r>
        <w:t>6.4 Data Governance</w:t>
      </w:r>
    </w:p>
    <w:p>
      <w:r>
        <w:rPr>
          <w:rFonts w:ascii="Calibri" w:hAnsi="Calibri"/>
          <w:sz w:val="24"/>
        </w:rPr>
        <w:t>Data governance policies ensure proper handling, retention, and quality management.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Classification:</w:t>
      </w:r>
      <w:r>
        <w:rPr>
          <w:rFonts w:ascii="Calibri" w:hAnsi="Calibri"/>
          <w:sz w:val="24"/>
        </w:rPr>
        <w:t xml:space="preserve"> Public, Internal, Confidential, Restricted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Retention:</w:t>
      </w:r>
      <w:r>
        <w:rPr>
          <w:rFonts w:ascii="Calibri" w:hAnsi="Calibri"/>
          <w:sz w:val="24"/>
        </w:rPr>
        <w:t xml:space="preserve"> 7 years for financial data, 90 days for logs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Quality:</w:t>
      </w:r>
      <w:r>
        <w:rPr>
          <w:rFonts w:ascii="Calibri" w:hAnsi="Calibri"/>
          <w:sz w:val="24"/>
        </w:rPr>
        <w:t xml:space="preserve"> Automated validation rules, data quality dashboards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Access:</w:t>
      </w:r>
      <w:r>
        <w:rPr>
          <w:rFonts w:ascii="Calibri" w:hAnsi="Calibri"/>
          <w:sz w:val="24"/>
        </w:rPr>
        <w:t xml:space="preserve"> Role-based with audit logging</w:t>
      </w:r>
    </w:p>
    <w:p>
      <w:pPr>
        <w:pStyle w:val="Heading1"/>
        <w:spacing w:before="160" w:after="120"/>
        <w:ind w:left="0"/>
      </w:pPr>
      <w:r>
        <w:t>7 Integration Design</w:t>
      </w:r>
    </w:p>
    <w:p>
      <w:r>
        <w:rPr>
          <w:rFonts w:ascii="Calibri" w:hAnsi="Calibri"/>
          <w:sz w:val="24"/>
        </w:rPr>
        <w:t>This section documents the integration patterns, APIs, and external system connections.</w:t>
      </w:r>
    </w:p>
    <w:p>
      <w:pPr>
        <w:pStyle w:val="Heading2"/>
        <w:spacing w:before="240" w:after="120"/>
        <w:ind w:left="0"/>
      </w:pPr>
      <w:r>
        <w:t>7.1 External System Integrations</w:t>
      </w:r>
    </w:p>
    <w:p>
      <w:r>
        <w:rPr>
          <w:rFonts w:ascii="Calibri" w:hAnsi="Calibri"/>
          <w:sz w:val="24"/>
        </w:rPr>
        <w:t>The solution integrates with the following external systems using standardized protocols and error handling.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System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Protocol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Format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Error Handling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SLA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CRM System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Real-time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REST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JSON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Retry with backoff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99.9%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ERP System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Batch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SFTP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CSV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Dead letter queue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99.5%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Email Service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Real-time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SMTP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MIME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Circuit breaker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99.9%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Identity Provider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Real-time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OIDC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JWT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Failover to cache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99.99%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9</w:t>
      </w:r>
      <w:r>
        <w:fldChar w:fldCharType="end"/>
      </w:r>
      <w:r>
        <w:rPr>
          <w:rFonts w:ascii="Calibri" w:hAnsi="Calibri"/>
          <w:sz w:val="20"/>
        </w:rPr>
        <w:t>: System Integrations</w:t>
      </w:r>
    </w:p>
    <w:p>
      <w:pPr>
        <w:pStyle w:val="Heading2"/>
        <w:spacing w:before="240" w:after="120"/>
        <w:ind w:left="0"/>
      </w:pPr>
      <w:r>
        <w:t>7.2 API Design</w:t>
      </w:r>
    </w:p>
    <w:p>
      <w:r>
        <w:rPr>
          <w:rFonts w:ascii="Calibri" w:hAnsi="Calibri"/>
          <w:sz w:val="24"/>
        </w:rPr>
        <w:t>APIs follow REST principles with standardized security and documentation practices.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Style:</w:t>
      </w:r>
      <w:r>
        <w:rPr>
          <w:rFonts w:ascii="Calibri" w:hAnsi="Calibri"/>
          <w:sz w:val="24"/>
        </w:rPr>
        <w:t xml:space="preserve"> RESTful with OpenAPI 3.0 specification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Versioning:</w:t>
      </w:r>
      <w:r>
        <w:rPr>
          <w:rFonts w:ascii="Calibri" w:hAnsi="Calibri"/>
          <w:sz w:val="24"/>
        </w:rPr>
        <w:t xml:space="preserve"> URL path versioning (v1, v2)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Authentication:</w:t>
      </w:r>
      <w:r>
        <w:rPr>
          <w:rFonts w:ascii="Calibri" w:hAnsi="Calibri"/>
          <w:sz w:val="24"/>
        </w:rPr>
        <w:t xml:space="preserve"> OAuth 2.0 bearer tokens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Rate Limiting:</w:t>
      </w:r>
      <w:r>
        <w:rPr>
          <w:rFonts w:ascii="Calibri" w:hAnsi="Calibri"/>
          <w:sz w:val="24"/>
        </w:rPr>
        <w:t xml:space="preserve"> 1000 requests/minute per client</w:t>
      </w:r>
    </w:p>
    <w:p>
      <w:pPr>
        <w:pStyle w:val="Heading3"/>
        <w:spacing w:before="160" w:after="120"/>
        <w:ind w:left="0"/>
      </w:pPr>
      <w:r>
        <w:t>7.2.1 API Endpoints</w:t>
      </w:r>
    </w:p>
    <w:p>
      <w:r>
        <w:rPr>
          <w:rFonts w:ascii="Calibri" w:hAnsi="Calibri"/>
          <w:sz w:val="24"/>
        </w:rPr>
        <w:t>The following REST API endpoints provide programmatic access to core system functionality.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Method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Endpoint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Auth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GET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/api/v1/transactions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Bearer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List transactions with filtering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POST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/api/v1/transactions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Bearer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Create new transaction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GET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/api/v1/transactions/{id}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Bearer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Get transaction details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PUT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/api/v1/transactions/{id}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Bearer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Update transaction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10</w:t>
      </w:r>
      <w:r>
        <w:fldChar w:fldCharType="end"/>
      </w:r>
      <w:r>
        <w:rPr>
          <w:rFonts w:ascii="Calibri" w:hAnsi="Calibri"/>
          <w:sz w:val="20"/>
        </w:rPr>
        <w:t>: API Endpoints</w:t>
      </w:r>
    </w:p>
    <w:p>
      <w:pPr>
        <w:pStyle w:val="Heading2"/>
        <w:spacing w:before="240" w:after="120"/>
        <w:ind w:left="0"/>
      </w:pPr>
      <w:r>
        <w:t>7.3 Authentication &amp; SSO Flows</w:t>
      </w:r>
    </w:p>
    <w:p>
      <w:r>
        <w:rPr>
          <w:rFonts w:ascii="Calibri" w:hAnsi="Calibri"/>
          <w:sz w:val="24"/>
        </w:rPr>
        <w:t>Single sign-on provides seamless authentication across all solution components.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SAML 2.0 federation with enterprise identity provider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OAuth 2.0 authorization code flow for web applications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credentials flow for service-to-service communication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JWT tokens with 1-hour expiry and refresh token rotation</w:t>
      </w:r>
    </w:p>
    <w:p>
      <w:pPr>
        <w:pStyle w:val="Heading2"/>
        <w:spacing w:before="240" w:after="120"/>
        <w:ind w:left="0"/>
      </w:pPr>
      <w:r>
        <w:t>7.4 Messaging &amp; Event Patterns</w:t>
      </w:r>
    </w:p>
    <w:p>
      <w:r>
        <w:rPr>
          <w:rFonts w:ascii="Calibri" w:hAnsi="Calibri"/>
          <w:sz w:val="24"/>
        </w:rPr>
        <w:t>Asynchronous messaging enables loose coupling and reliable event processing.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Queue Service:</w:t>
      </w:r>
      <w:r>
        <w:rPr>
          <w:rFonts w:ascii="Calibri" w:hAnsi="Calibri"/>
          <w:sz w:val="24"/>
        </w:rPr>
        <w:t xml:space="preserve"> Asynchronous processing with guaranteed delivery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Event Bus:</w:t>
      </w:r>
      <w:r>
        <w:rPr>
          <w:rFonts w:ascii="Calibri" w:hAnsi="Calibri"/>
          <w:sz w:val="24"/>
        </w:rPr>
        <w:t xml:space="preserve"> Pub/sub for cross-service notifications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Dead Letter Queue:</w:t>
      </w:r>
      <w:r>
        <w:rPr>
          <w:rFonts w:ascii="Calibri" w:hAnsi="Calibri"/>
          <w:sz w:val="24"/>
        </w:rPr>
        <w:t xml:space="preserve"> Failed messages retained for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Retry Policy:</w:t>
      </w:r>
      <w:r>
        <w:rPr>
          <w:rFonts w:ascii="Calibri" w:hAnsi="Calibri"/>
          <w:sz w:val="24"/>
        </w:rPr>
        <w:t xml:space="preserve"> Exponential backoff with maximum 5 attempts</w:t>
      </w:r>
    </w:p>
    <w:p>
      <w:pPr>
        <w:pStyle w:val="Heading1"/>
        <w:spacing w:before="160" w:after="120"/>
        <w:ind w:left="0"/>
      </w:pPr>
      <w:r>
        <w:t>8 Infrastructure &amp; Operations</w:t>
      </w:r>
    </w:p>
    <w:p>
      <w:r>
        <w:rPr>
          <w:rFonts w:ascii="Calibri" w:hAnsi="Calibri"/>
          <w:sz w:val="24"/>
        </w:rPr>
        <w:t>This section covers the infrastructure design, deployment architecture, and operational procedures.</w:t>
      </w:r>
    </w:p>
    <w:p>
      <w:pPr>
        <w:pStyle w:val="Heading2"/>
        <w:spacing w:before="240" w:after="120"/>
        <w:ind w:left="0"/>
      </w:pPr>
      <w:r>
        <w:t>8.1 Network Design</w:t>
      </w:r>
    </w:p>
    <w:p>
      <w:r>
        <w:rPr>
          <w:rFonts w:ascii="Calibri" w:hAnsi="Calibri"/>
          <w:sz w:val="24"/>
        </w:rPr>
        <w:t>The virtual network architecture provides isolation and security through segmentation.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VPC CIDR:</w:t>
      </w:r>
      <w:r>
        <w:rPr>
          <w:rFonts w:ascii="Calibri" w:hAnsi="Calibri"/>
          <w:sz w:val="24"/>
        </w:rPr>
        <w:t xml:space="preserve"> 10.0.0.0/16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Public Subnets:</w:t>
      </w:r>
      <w:r>
        <w:rPr>
          <w:rFonts w:ascii="Calibri" w:hAnsi="Calibri"/>
          <w:sz w:val="24"/>
        </w:rPr>
        <w:t xml:space="preserve"> 10.0.1.0/24, 10.0.2.0/24 (load balancers)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Private Subnets:</w:t>
      </w:r>
      <w:r>
        <w:rPr>
          <w:rFonts w:ascii="Calibri" w:hAnsi="Calibri"/>
          <w:sz w:val="24"/>
        </w:rPr>
        <w:t xml:space="preserve"> 10.0.10.0/24, 10.0.11.0/24 (application)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Database Subnets:</w:t>
      </w:r>
      <w:r>
        <w:rPr>
          <w:rFonts w:ascii="Calibri" w:hAnsi="Calibri"/>
          <w:sz w:val="24"/>
        </w:rPr>
        <w:t xml:space="preserve"> 10.0.20.0/24, 10.0.21.0/24 (data tier)</w:t>
      </w:r>
    </w:p>
    <w:p>
      <w:pPr>
        <w:pStyle w:val="Heading2"/>
        <w:spacing w:before="240" w:after="120"/>
        <w:ind w:left="0"/>
      </w:pPr>
      <w:r>
        <w:t>8.2 Compute Sizing</w:t>
      </w:r>
    </w:p>
    <w:p>
      <w:r>
        <w:rPr>
          <w:rFonts w:ascii="Calibri" w:hAnsi="Calibri"/>
          <w:sz w:val="24"/>
        </w:rPr>
        <w:t>Instance sizing has been determined based on performance testing results and anticipated workload requirements.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Instance 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vCPU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Memory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Count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Web Tier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GB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2-10 (auto)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API Tier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Large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8 GB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2-20 (auto)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Worker Tier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GB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1-5 (auto)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Database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XLarge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8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32 GB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(primary + replica)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11</w:t>
      </w:r>
      <w:r>
        <w:fldChar w:fldCharType="end"/>
      </w:r>
      <w:r>
        <w:rPr>
          <w:rFonts w:ascii="Calibri" w:hAnsi="Calibri"/>
          <w:sz w:val="20"/>
        </w:rPr>
        <w:t>: Compute Sizing</w:t>
      </w:r>
    </w:p>
    <w:p>
      <w:pPr>
        <w:pStyle w:val="Heading2"/>
        <w:spacing w:before="240" w:after="120"/>
        <w:ind w:left="0"/>
      </w:pPr>
      <w:r>
        <w:t>8.3 High Availability Design</w:t>
      </w:r>
    </w:p>
    <w:p>
      <w:r>
        <w:rPr>
          <w:rFonts w:ascii="Calibri" w:hAnsi="Calibri"/>
          <w:sz w:val="24"/>
        </w:rPr>
        <w:t>The solution eliminates single points of failure through redundancy at every tier.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Multi-availability zone deployment for all tiers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failover for database tier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Health checks with automatic instance replacement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Cross-region replication for disaster recovery</w:t>
      </w:r>
    </w:p>
    <w:p>
      <w:pPr>
        <w:pStyle w:val="Heading2"/>
        <w:spacing w:before="240" w:after="120"/>
        <w:ind w:left="0"/>
      </w:pPr>
      <w:r>
        <w:t>8.4 Disaster Recovery</w:t>
      </w:r>
    </w:p>
    <w:p>
      <w:r>
        <w:rPr>
          <w:rFonts w:ascii="Calibri" w:hAnsi="Calibri"/>
          <w:sz w:val="24"/>
        </w:rPr>
        <w:t>Disaster recovery capabilities ensure business continuity in the event of regional failure.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RPO:</w:t>
      </w:r>
      <w:r>
        <w:rPr>
          <w:rFonts w:ascii="Calibri" w:hAnsi="Calibri"/>
          <w:sz w:val="24"/>
        </w:rPr>
        <w:t xml:space="preserve"> 1 hour (continuous replication)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RTO:</w:t>
      </w:r>
      <w:r>
        <w:rPr>
          <w:rFonts w:ascii="Calibri" w:hAnsi="Calibri"/>
          <w:sz w:val="24"/>
        </w:rPr>
        <w:t xml:space="preserve"> 4 hours (automated recovery procedures)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Backup:</w:t>
      </w:r>
      <w:r>
        <w:rPr>
          <w:rFonts w:ascii="Calibri" w:hAnsi="Calibri"/>
          <w:sz w:val="24"/>
        </w:rPr>
        <w:t xml:space="preserve"> Daily full, hourly incremental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DR Site:</w:t>
      </w:r>
      <w:r>
        <w:rPr>
          <w:rFonts w:ascii="Calibri" w:hAnsi="Calibri"/>
          <w:sz w:val="24"/>
        </w:rPr>
        <w:t xml:space="preserve"> Warm standby in secondary region</w:t>
      </w:r>
    </w:p>
    <w:p>
      <w:pPr>
        <w:pStyle w:val="Heading2"/>
        <w:spacing w:before="240" w:after="120"/>
        <w:ind w:left="0"/>
      </w:pPr>
      <w:r>
        <w:t>8.5 Monitoring &amp; Alerting</w:t>
      </w:r>
    </w:p>
    <w:p>
      <w:r>
        <w:rPr>
          <w:rFonts w:ascii="Calibri" w:hAnsi="Calibri"/>
          <w:sz w:val="24"/>
        </w:rPr>
        <w:t>Comprehensive monitoring provides visibility across infrastructure, applications, and business metrics.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Infrastructure:</w:t>
      </w:r>
      <w:r>
        <w:rPr>
          <w:rFonts w:ascii="Calibri" w:hAnsi="Calibri"/>
          <w:sz w:val="24"/>
        </w:rPr>
        <w:t xml:space="preserve"> CPU, memory, disk, network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Application:</w:t>
      </w:r>
      <w:r>
        <w:rPr>
          <w:rFonts w:ascii="Calibri" w:hAnsi="Calibri"/>
          <w:sz w:val="24"/>
        </w:rPr>
        <w:t xml:space="preserve"> Response times, error rates, throughput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Business:</w:t>
      </w:r>
      <w:r>
        <w:rPr>
          <w:rFonts w:ascii="Calibri" w:hAnsi="Calibri"/>
          <w:sz w:val="24"/>
        </w:rPr>
        <w:t xml:space="preserve"> Transaction volumes, success rates, SLA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Alerting:</w:t>
      </w:r>
      <w:r>
        <w:rPr>
          <w:rFonts w:ascii="Calibri" w:hAnsi="Calibri"/>
          <w:sz w:val="24"/>
        </w:rPr>
        <w:t xml:space="preserve"> PagerDuty integration with escalation policies</w:t>
      </w:r>
    </w:p>
    <w:p>
      <w:pPr>
        <w:pStyle w:val="Heading3"/>
        <w:spacing w:before="160" w:after="120"/>
        <w:ind w:left="0"/>
      </w:pPr>
      <w:r>
        <w:t>8.5.1 Alert Definitions</w:t>
      </w:r>
    </w:p>
    <w:p>
      <w:r>
        <w:rPr>
          <w:rFonts w:ascii="Calibri" w:hAnsi="Calibri"/>
          <w:sz w:val="24"/>
        </w:rPr>
        <w:t>The following alerts have been configured to ensure proactive incident detection and response.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Alert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Condition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Severity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Response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 CPU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80% for 5 min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Auto-scale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Error Rate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5% for 5 min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Page on-call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Database Latency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100ms p95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Investigate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Disk Space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 20% free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Expand storage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12</w:t>
      </w:r>
      <w:r>
        <w:fldChar w:fldCharType="end"/>
      </w:r>
      <w:r>
        <w:rPr>
          <w:rFonts w:ascii="Calibri" w:hAnsi="Calibri"/>
          <w:sz w:val="20"/>
        </w:rPr>
        <w:t>: Monitoring Alerts</w:t>
      </w:r>
    </w:p>
    <w:p>
      <w:pPr>
        <w:pStyle w:val="Heading2"/>
        <w:spacing w:before="240" w:after="120"/>
        <w:ind w:left="0"/>
      </w:pPr>
      <w:r>
        <w:t>8.6 Logging &amp; Observability</w:t>
      </w:r>
    </w:p>
    <w:p>
      <w:r>
        <w:rPr>
          <w:rFonts w:ascii="Calibri" w:hAnsi="Calibri"/>
          <w:sz w:val="24"/>
        </w:rPr>
        <w:t>Centralized logging and distributed tracing enable rapid troubleshooting and analysis.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log aggregation with 90-day retention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Distributed tracing for request flow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dashboards for each service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Log-based metrics for business KPIs</w:t>
      </w:r>
    </w:p>
    <w:p>
      <w:pPr>
        <w:pStyle w:val="Heading2"/>
        <w:spacing w:before="240" w:after="120"/>
        <w:ind w:left="0"/>
      </w:pPr>
      <w:r>
        <w:t>8.7 Cost Model</w:t>
      </w:r>
    </w:p>
    <w:p>
      <w:r>
        <w:rPr>
          <w:rFonts w:ascii="Calibri" w:hAnsi="Calibri"/>
          <w:sz w:val="24"/>
        </w:rPr>
        <w:t>The estimated monthly infrastructure costs are based on production workload requirements with identified optimization opportunities.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Monthly Estimate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Optimization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Savings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Compute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$2,500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Reserved instances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30%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Database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$1,500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Reserved capacity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25%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$500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Lifecycle policies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40%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$300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NAT optimization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20%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13</w:t>
      </w:r>
      <w:r>
        <w:fldChar w:fldCharType="end"/>
      </w:r>
      <w:r>
        <w:rPr>
          <w:rFonts w:ascii="Calibri" w:hAnsi="Calibri"/>
          <w:sz w:val="20"/>
        </w:rPr>
        <w:t>: Cost Estimates</w:t>
      </w:r>
    </w:p>
    <w:p>
      <w:pPr>
        <w:pStyle w:val="Heading1"/>
        <w:spacing w:before="160" w:after="120"/>
        <w:ind w:left="0"/>
      </w:pPr>
      <w:r>
        <w:t>9 Implementation Approach</w:t>
      </w:r>
    </w:p>
    <w:p>
      <w:r>
        <w:rPr>
          <w:rFonts w:ascii="Calibri" w:hAnsi="Calibri"/>
          <w:sz w:val="24"/>
        </w:rPr>
        <w:t>This section outlines the deployment strategy, tooling, and sequencing for the implementation.</w:t>
      </w:r>
    </w:p>
    <w:p>
      <w:pPr>
        <w:pStyle w:val="Heading2"/>
        <w:spacing w:before="240" w:after="120"/>
        <w:ind w:left="0"/>
      </w:pPr>
      <w:r>
        <w:t>9.1 Migration/Deployment Strategy</w:t>
      </w:r>
    </w:p>
    <w:p>
      <w:r>
        <w:rPr>
          <w:rFonts w:ascii="Calibri" w:hAnsi="Calibri"/>
          <w:sz w:val="24"/>
        </w:rPr>
        <w:t>The deployment strategy minimizes risk through phased rollout with validation gates.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Approach:</w:t>
      </w:r>
      <w:r>
        <w:rPr>
          <w:rFonts w:ascii="Calibri" w:hAnsi="Calibri"/>
          <w:sz w:val="24"/>
        </w:rPr>
        <w:t xml:space="preserve"> Phased deployment with pilot rollout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Pattern:</w:t>
      </w:r>
      <w:r>
        <w:rPr>
          <w:rFonts w:ascii="Calibri" w:hAnsi="Calibri"/>
          <w:sz w:val="24"/>
        </w:rPr>
        <w:t xml:space="preserve"> Blue-green deployment for zero-downtime updates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Validation:</w:t>
      </w:r>
      <w:r>
        <w:rPr>
          <w:rFonts w:ascii="Calibri" w:hAnsi="Calibri"/>
          <w:sz w:val="24"/>
        </w:rPr>
        <w:t xml:space="preserve"> Automated testing at each phase gate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Rollback:</w:t>
      </w:r>
      <w:r>
        <w:rPr>
          <w:rFonts w:ascii="Calibri" w:hAnsi="Calibri"/>
          <w:sz w:val="24"/>
        </w:rPr>
        <w:t xml:space="preserve"> One-click rollback to previous version</w:t>
      </w:r>
    </w:p>
    <w:p>
      <w:pPr>
        <w:pStyle w:val="Heading2"/>
        <w:spacing w:before="240" w:after="120"/>
        <w:ind w:left="0"/>
      </w:pPr>
      <w:r>
        <w:t>9.2 Sequencing &amp; Wave Planning</w:t>
      </w:r>
    </w:p>
    <w:p>
      <w:r>
        <w:rPr>
          <w:rFonts w:ascii="Calibri" w:hAnsi="Calibri"/>
          <w:sz w:val="24"/>
        </w:rPr>
        <w:t>The implementation follows a phased approach with clear exit criteria to ensure quality and minimize risk.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Activities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Duration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Exit Criteria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Foundation (IAM, networking, monitoring)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weeks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validated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Core services deployment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 weeks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Services operational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migration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weeks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validated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&amp; testing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weeks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UAT complete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Cutover &amp; go-live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week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stable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14</w:t>
      </w:r>
      <w:r>
        <w:fldChar w:fldCharType="end"/>
      </w:r>
      <w:r>
        <w:rPr>
          <w:rFonts w:ascii="Calibri" w:hAnsi="Calibri"/>
          <w:sz w:val="20"/>
        </w:rPr>
        <w:t>: Implementation Phases</w:t>
      </w:r>
    </w:p>
    <w:p>
      <w:pPr>
        <w:pStyle w:val="Heading2"/>
        <w:spacing w:before="240" w:after="120"/>
        <w:ind w:left="0"/>
      </w:pPr>
      <w:r>
        <w:t>9.3 Tooling &amp; Automation</w:t>
      </w:r>
    </w:p>
    <w:p>
      <w:r>
        <w:rPr>
          <w:rFonts w:ascii="Calibri" w:hAnsi="Calibri"/>
          <w:sz w:val="24"/>
        </w:rPr>
        <w:t>The following tools provide the automation foundation for infrastructure provisioning, deployment, and operations.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Tool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as Code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Terraform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 resource provisioning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Configuration Management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Ansible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Server configuration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CI/CD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GitHub Actions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Build, test, deploy automation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Container Registry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 container registry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Image storage and scanning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Secrets Management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 secrets manager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Credential storage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15</w:t>
      </w:r>
      <w:r>
        <w:fldChar w:fldCharType="end"/>
      </w:r>
      <w:r>
        <w:rPr>
          <w:rFonts w:ascii="Calibri" w:hAnsi="Calibri"/>
          <w:sz w:val="20"/>
        </w:rPr>
        <w:t>: Tools and Technologies</w:t>
      </w:r>
    </w:p>
    <w:p>
      <w:pPr>
        <w:pStyle w:val="Heading2"/>
        <w:spacing w:before="240" w:after="120"/>
        <w:ind w:left="0"/>
      </w:pPr>
      <w:r>
        <w:t>9.4 Cutover Approach</w:t>
      </w:r>
    </w:p>
    <w:p>
      <w:r>
        <w:rPr>
          <w:rFonts w:ascii="Calibri" w:hAnsi="Calibri"/>
          <w:sz w:val="24"/>
        </w:rPr>
        <w:t>The cutover strategy balances risk mitigation with project timeline requirements.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Type:</w:t>
      </w:r>
      <w:r>
        <w:rPr>
          <w:rFonts w:ascii="Calibri" w:hAnsi="Calibri"/>
          <w:sz w:val="24"/>
        </w:rPr>
        <w:t xml:space="preserve"> Phased cutover with parallel run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Duration:</w:t>
      </w:r>
      <w:r>
        <w:rPr>
          <w:rFonts w:ascii="Calibri" w:hAnsi="Calibri"/>
          <w:sz w:val="24"/>
        </w:rPr>
        <w:t xml:space="preserve"> 2-week parallel run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Validation:</w:t>
      </w:r>
      <w:r>
        <w:rPr>
          <w:rFonts w:ascii="Calibri" w:hAnsi="Calibri"/>
          <w:sz w:val="24"/>
        </w:rPr>
        <w:t xml:space="preserve"> Daily reconciliation reports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Decision Point:</w:t>
      </w:r>
      <w:r>
        <w:rPr>
          <w:rFonts w:ascii="Calibri" w:hAnsi="Calibri"/>
          <w:sz w:val="24"/>
        </w:rPr>
        <w:t xml:space="preserve"> Go/no-go 48 hours before final cutover</w:t>
      </w:r>
    </w:p>
    <w:p>
      <w:pPr>
        <w:pStyle w:val="Heading2"/>
        <w:spacing w:before="240" w:after="120"/>
        <w:ind w:left="0"/>
      </w:pPr>
      <w:r>
        <w:t>9.5 Downtime Expectations</w:t>
      </w:r>
    </w:p>
    <w:p>
      <w:r>
        <w:rPr>
          <w:rFonts w:ascii="Calibri" w:hAnsi="Calibri"/>
          <w:sz w:val="24"/>
        </w:rPr>
        <w:t>Service availability impacts during implementation have been minimized through careful planning.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Planned Downtime:</w:t>
      </w:r>
      <w:r>
        <w:rPr>
          <w:rFonts w:ascii="Calibri" w:hAnsi="Calibri"/>
          <w:sz w:val="24"/>
        </w:rPr>
        <w:t xml:space="preserve"> 4-hour maintenance window for final cutover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Unplanned Downtime:</w:t>
      </w:r>
      <w:r>
        <w:rPr>
          <w:rFonts w:ascii="Calibri" w:hAnsi="Calibri"/>
          <w:sz w:val="24"/>
        </w:rPr>
        <w:t xml:space="preserve"> Target &lt; 4 hours MTTR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Mitigation:</w:t>
      </w:r>
      <w:r>
        <w:rPr>
          <w:rFonts w:ascii="Calibri" w:hAnsi="Calibri"/>
          <w:sz w:val="24"/>
        </w:rPr>
        <w:t xml:space="preserve"> Pre-staged rollback, on-call support during cutover</w:t>
      </w:r>
    </w:p>
    <w:p>
      <w:pPr>
        <w:pStyle w:val="Heading2"/>
        <w:spacing w:before="240" w:after="120"/>
        <w:ind w:left="0"/>
      </w:pPr>
      <w:r>
        <w:t>9.6 Rollback Strategy</w:t>
      </w:r>
    </w:p>
    <w:p>
      <w:r>
        <w:rPr>
          <w:rFonts w:ascii="Calibri" w:hAnsi="Calibri"/>
          <w:sz w:val="24"/>
        </w:rPr>
        <w:t>Rollback procedures are documented and tested to enable rapid recovery if issues arise.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Infrastructure rollback via Terraform state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rollback via container image tags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Database rollback via point-in-time recovery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Maximum rollback window: 24 hours post-deployment</w:t>
      </w:r>
    </w:p>
    <w:p>
      <w:pPr>
        <w:pStyle w:val="Heading1"/>
        <w:spacing w:before="160" w:after="120"/>
        <w:ind w:left="0"/>
      </w:pPr>
      <w:r>
        <w:t>10 Appendices</w:t>
      </w:r>
    </w:p>
    <w:p>
      <w:pPr>
        <w:pStyle w:val="Heading2"/>
        <w:spacing w:before="240" w:after="120"/>
        <w:ind w:left="0"/>
      </w:pPr>
      <w:r>
        <w:t>10.1 Architecture Diagrams</w:t>
      </w:r>
    </w:p>
    <w:p>
      <w:r>
        <w:rPr>
          <w:rFonts w:ascii="Calibri" w:hAnsi="Calibri"/>
          <w:sz w:val="24"/>
        </w:rPr>
        <w:t>The following diagrams provide visual representation of the solution architecture.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Architecture Diagram (included in Solution Architecture section)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Topology Diagram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Flow Diagram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Architecture Diagram</w:t>
      </w:r>
    </w:p>
    <w:p>
      <w:pPr>
        <w:pStyle w:val="Heading2"/>
        <w:spacing w:before="240" w:after="120"/>
        <w:ind w:left="0"/>
      </w:pPr>
      <w:r>
        <w:t>10.2 Naming Conventions</w:t>
      </w:r>
    </w:p>
    <w:p>
      <w:r>
        <w:rPr>
          <w:rFonts w:ascii="Calibri" w:hAnsi="Calibri"/>
          <w:sz w:val="24"/>
        </w:rPr>
        <w:t>All cloud resources follow standardized naming conventions to ensure consistency and enable automated resource management.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Resource Type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Pattern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Example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Resource Group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`{env}-{app}-{region}-rg`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`prod-sample-eastus-rg`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Virtual Network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`{env}-{app}-vnet`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`prod-sample-vnet`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Subnet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`{env}-{app}-{tier}-subnet`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`prod-sample-web-subnet`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 Account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`{env}{app}storage`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`prodsamplestorage`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16</w:t>
      </w:r>
      <w:r>
        <w:fldChar w:fldCharType="end"/>
      </w:r>
      <w:r>
        <w:rPr>
          <w:rFonts w:ascii="Calibri" w:hAnsi="Calibri"/>
          <w:sz w:val="20"/>
        </w:rPr>
        <w:t>: Naming Conventions</w:t>
      </w:r>
    </w:p>
    <w:p>
      <w:pPr>
        <w:pStyle w:val="Heading2"/>
        <w:spacing w:before="240" w:after="120"/>
        <w:ind w:left="0"/>
      </w:pPr>
      <w:r>
        <w:t>10.3 Tagging Standards</w:t>
      </w:r>
    </w:p>
    <w:p>
      <w:r>
        <w:rPr>
          <w:rFonts w:ascii="Calibri" w:hAnsi="Calibri"/>
          <w:sz w:val="24"/>
        </w:rPr>
        <w:t>Resource tagging enables cost allocation, operational automation, and compliance reporting across the environment.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Required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Example Values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dev, staging, prod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sample-solution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Owner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platform-team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CostCenter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CC-12345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DataClassification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public, internal, confidential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17</w:t>
      </w:r>
      <w:r>
        <w:fldChar w:fldCharType="end"/>
      </w:r>
      <w:r>
        <w:rPr>
          <w:rFonts w:ascii="Calibri" w:hAnsi="Calibri"/>
          <w:sz w:val="20"/>
        </w:rPr>
        <w:t>: Tagging Standards</w:t>
      </w:r>
    </w:p>
    <w:p>
      <w:pPr>
        <w:pStyle w:val="Heading2"/>
        <w:spacing w:before="240" w:after="120"/>
        <w:ind w:left="0"/>
      </w:pPr>
      <w:r>
        <w:t>10.4 Risk Register</w:t>
      </w:r>
    </w:p>
    <w:p>
      <w:r>
        <w:rPr>
          <w:rFonts w:ascii="Calibri" w:hAnsi="Calibri"/>
          <w:sz w:val="24"/>
        </w:rPr>
        <w:t>The following risks have been identified during the design phase with corresponding mitigation strategies.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Risk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Likelihood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Impact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Mitigation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loss during migration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Low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Parallel run, validated backups, rollback plan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degradation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Load testing, capacity planning, auto-scaling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failures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Circuit breakers, retry logic, monitoring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breach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Low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Defense in depth, monitoring, incident response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Cost overrun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Budget alerts, reserved capacity, optimization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18</w:t>
      </w:r>
      <w:r>
        <w:fldChar w:fldCharType="end"/>
      </w:r>
      <w:r>
        <w:rPr>
          <w:rFonts w:ascii="Calibri" w:hAnsi="Calibri"/>
          <w:sz w:val="20"/>
        </w:rPr>
        <w:t>: Risk Register</w:t>
      </w:r>
    </w:p>
    <w:p>
      <w:pPr>
        <w:pStyle w:val="Heading2"/>
        <w:spacing w:before="240" w:after="120"/>
        <w:ind w:left="0"/>
      </w:pPr>
      <w:r>
        <w:t>10.5 Glossary</w:t>
      </w:r>
    </w:p>
    <w:p>
      <w:r>
        <w:rPr>
          <w:rFonts w:ascii="Calibri" w:hAnsi="Calibri"/>
          <w:sz w:val="24"/>
        </w:rPr>
        <w:t>The following terms and acronyms are used throughout this document.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Term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Definition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API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 Programming Interface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CIDR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Classless Inter-Domain Routing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 Availability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IAM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Identity and Access Management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IaC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as Code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MTTR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Mean Time to Recovery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RBAC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Role-Based Access Control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RPO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Recovery Point Objective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RTO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Recovery Time Objective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SLA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Service Level Agreement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VPC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Virtual Private Cloud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19</w:t>
      </w:r>
      <w:r>
        <w:fldChar w:fldCharType="end"/>
      </w:r>
      <w:r>
        <w:rPr>
          <w:rFonts w:ascii="Calibri" w:hAnsi="Calibri"/>
          <w:sz w:val="20"/>
        </w:rPr>
        <w:t>: Glossary</w:t>
      </w:r>
    </w:p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16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4F370" w14:textId="77777777" w:rsidR="00701ED1" w:rsidRDefault="00701ED1">
      <w:pPr>
        <w:spacing w:after="0" w:line="240" w:lineRule="auto"/>
      </w:pPr>
      <w:r>
        <w:separator/>
      </w:r>
    </w:p>
  </w:endnote>
  <w:endnote w:type="continuationSeparator" w:id="0">
    <w:p w14:paraId="4190DF2E" w14:textId="77777777" w:rsidR="00701ED1" w:rsidRDefault="00701E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4A686" w14:textId="77777777" w:rsidR="00701ED1" w:rsidRDefault="00701ED1">
      <w:pPr>
        <w:spacing w:after="0" w:line="240" w:lineRule="auto"/>
      </w:pPr>
      <w:r>
        <w:separator/>
      </w:r>
    </w:p>
  </w:footnote>
  <w:footnote w:type="continuationSeparator" w:id="0">
    <w:p w14:paraId="1573E100" w14:textId="77777777" w:rsidR="00701ED1" w:rsidRDefault="00701E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30D4E99B" w:rsidR="00517E5A" w:rsidRDefault="00000000">
    <w:pPr>
      <w:pStyle w:val="Header"/>
    </w:pPr>
    <w:r>
      <w:rPr>
        <w:color w:val="808080"/>
        <w:sz w:val="24"/>
      </w:rPr>
      <w:t>Detailed Design Document</w:t>
      <w:tab/>
      <w:tab/>
      <w:t>sample-provider - Sample Solution</w:t>
    </w:r>
    <w:r w:rsidR="005B0B47">
      <w:rPr>
        <w:color w:val="808080"/>
        <w:sz w:val="24"/>
      </w:rPr>
    </w:r>
    <w:r>
      <w:rPr>
        <w:color w:val="808080"/>
        <w:sz w:val="24"/>
      </w:rPr>
    </w:r>
    <w:r/>
    <w:r/>
    <w:r>
      <w:rPr>
        <w:color w:val="808080"/>
        <w:sz w:val="24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DCB"/>
    <w:rsid w:val="0015074B"/>
    <w:rsid w:val="00175DC1"/>
    <w:rsid w:val="0029639D"/>
    <w:rsid w:val="002B4224"/>
    <w:rsid w:val="002D5501"/>
    <w:rsid w:val="00326F90"/>
    <w:rsid w:val="00517E5A"/>
    <w:rsid w:val="00541DC9"/>
    <w:rsid w:val="005A01BD"/>
    <w:rsid w:val="005A14E3"/>
    <w:rsid w:val="005B0B47"/>
    <w:rsid w:val="006C1B3B"/>
    <w:rsid w:val="00701ED1"/>
    <w:rsid w:val="00717007"/>
    <w:rsid w:val="007647BA"/>
    <w:rsid w:val="008E6583"/>
    <w:rsid w:val="0098338B"/>
    <w:rsid w:val="00A2441E"/>
    <w:rsid w:val="00A7109D"/>
    <w:rsid w:val="00AA1D8D"/>
    <w:rsid w:val="00B47730"/>
    <w:rsid w:val="00CB0664"/>
    <w:rsid w:val="00DF3F7F"/>
    <w:rsid w:val="00E45A90"/>
    <w:rsid w:val="00F01295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image" Target="media/image4.png"/><Relationship Id="rId16" Type="http://schemas.openxmlformats.org/officeDocument/2006/relationships/hyperlink" Target="https://eoframework.org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11</cp:revision>
  <dcterms:created xsi:type="dcterms:W3CDTF">2013-12-23T23:15:00Z</dcterms:created>
  <dcterms:modified xsi:type="dcterms:W3CDTF">2025-11-26T11:44:00Z</dcterms:modified>
  <cp:category/>
</cp:coreProperties>
</file>