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Enterprise Cloud Migration &amp; Modernization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Acme Financial Services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10,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Jane Doe | jane.doe@consulting.com | (555) 987-6543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Solution Architecture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Project Deliverables and Acceptance Criteria</w:t>
        <w:tab/>
        <w:t>3</w:t>
        <w:br/>
      </w:r>
      <w:r>
        <w:rPr>
          <w:rFonts w:ascii="Calibri" w:hAnsi="Calibri"/>
          <w:sz w:val="24"/>
        </w:rPr>
        <w:t>Table 2: Project Deliverables and Acceptance Criteria</w:t>
        <w:tab/>
        <w:t>4</w:t>
        <w:br/>
      </w:r>
      <w:r>
        <w:rPr>
          <w:rFonts w:ascii="Calibri" w:hAnsi="Calibri"/>
          <w:sz w:val="24"/>
        </w:rPr>
        <w:t>Table 3: Project Milestones and Timeline</w:t>
        <w:tab/>
        <w:t>5</w:t>
        <w:br/>
      </w:r>
      <w:r>
        <w:rPr>
          <w:rFonts w:ascii="Calibri" w:hAnsi="Calibri"/>
          <w:sz w:val="24"/>
        </w:rPr>
        <w:t>Table 4: Roles and Responsibilities (RACI Matrix)</w:t>
        <w:tab/>
        <w:t>6</w:t>
        <w:br/>
      </w:r>
      <w:r>
        <w:rPr>
          <w:rFonts w:ascii="Calibri" w:hAnsi="Calibri"/>
          <w:sz w:val="24"/>
        </w:rPr>
        <w:t>Table 5: Roles and Responsibilities (RACI Matrix)</w:t>
        <w:tab/>
        <w:t>7</w:t>
        <w:br/>
      </w:r>
      <w:r>
        <w:rPr>
          <w:rFonts w:ascii="Calibri" w:hAnsi="Calibri"/>
          <w:sz w:val="24"/>
        </w:rPr>
        <w:t>Table 6: Implementation Tools and Technologies</w:t>
        <w:tab/>
        <w:t>8</w:t>
        <w:br/>
      </w:r>
      <w:r>
        <w:rPr>
          <w:rFonts w:ascii="Calibri" w:hAnsi="Calibri"/>
          <w:sz w:val="24"/>
        </w:rPr>
        <w:t>Table 7: Investment Summary</w:t>
        <w:tab/>
        <w:t>9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>This Statement of Work (SOW) defines the scope, deliverables, roles, and terms for the Enterprise Cloud Migration &amp; Modernization project for Acme Financial Services. This engagement will deliver a modern, scalable, cloud-native 3-tier architecture to replace legacy on-premises systems and achieve digital transformation objectives including improved scalability, enhanced security, and reduced operational costs.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7 months (February 1, 2025 - August 31, 2025)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Migrate core applications to cloud-native 3-tier architecture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99.9% uptime SLA with auto-scaling capabilities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infrastructure costs by 30-40%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CI/CD pipelines for faster deployment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Current State</w:t>
      </w:r>
    </w:p>
    <w:p>
      <w:pPr>
        <w:spacing w:after="160"/>
      </w:pPr>
      <w:r>
        <w:rPr>
          <w:rFonts w:ascii="Calibri" w:hAnsi="Calibri"/>
          <w:sz w:val="22"/>
        </w:rPr>
        <w:t>Acme Financial Services currently operates legacy on-premises applications with monolithic architecture. Key challenges include: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Limited scalability to handle peak transaction volumes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High infrastructure maintenance costs and aging hardware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concerns with legacy authentication and data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Slow deployment cycles hindering time-to-market for new features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Difficulty meeting regulatory compliance requirements</w:t>
      </w:r>
    </w:p>
    <w:p>
      <w:pPr>
        <w:pStyle w:val="Heading2"/>
        <w:spacing w:before="240" w:after="120"/>
        <w:ind w:left="0" w:firstLine="0"/>
      </w:pPr>
      <w:r>
        <w:t>2.2 Business Objectives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Migrate core applications to cloud-native 3-tier architecture (Presentation, Application, Data layers)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99.9% uptime SLA with auto-scaling capabilities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infrastructure costs by 30-40% through cloud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modern security controls and compliance frameworks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CI/CD pipelines for faster feature deployment</w:t>
      </w:r>
    </w:p>
    <w:p>
      <w:pPr>
        <w:pStyle w:val="Heading2"/>
        <w:spacing w:before="240" w:after="120"/>
        <w:ind w:left="0" w:firstLine="0"/>
      </w:pPr>
      <w:r>
        <w:t>2.3 Success Metrics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99.9% uptime availability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Application latency &lt; 200ms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Zero critical issues during cutover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30% cost reduction within 12 months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50% reduction in deployment cycle time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Discovery and assessment of current infrastructure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Cloud platform setup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Application migration and modernization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migration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Testing and quality assurance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Knowledge transfer and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4-week hypercare support period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Application refactoring or custom development beyond migration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Managed services post-hypercare (unless separately contracted)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</w:t>
      </w:r>
    </w:p>
    <w:p>
      <w:pPr>
        <w:pStyle w:val="Heading2"/>
        <w:spacing w:before="240" w:after="120"/>
        <w:ind w:left="0" w:firstLine="0"/>
      </w:pPr>
      <w:r>
        <w:t>3.3 Phase Activities</w:t>
      </w:r>
    </w:p>
    <w:p>
      <w:pPr>
        <w:pStyle w:val="Heading3"/>
        <w:spacing w:before="160" w:after="120"/>
        <w:ind w:left="0" w:firstLine="0"/>
      </w:pPr>
      <w:r>
        <w:t>3.3.1 Phase 1 – Discovery &amp; Assessment (Weeks 1-4)</w:t>
      </w:r>
    </w:p>
    <w:p>
      <w:pPr>
        <w:spacing w:after="160"/>
      </w:pPr>
      <w:r>
        <w:rPr>
          <w:rFonts w:ascii="Calibri" w:hAnsi="Calibri"/>
          <w:sz w:val="22"/>
        </w:rPr>
        <w:t>During this initial phase, the Vendor will perform a comprehensive assessment of the Client's current state.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discovery and inventory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Requirements gathering and stakeholder interviews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Current-state documentation and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architecture design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Implementation planning and prioritization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estimation and resource planning</w:t>
      </w:r>
    </w:p>
    <w:p>
      <w:pPr>
        <w:spacing w:after="160"/>
      </w:pPr>
      <w:r>
        <w:rPr>
          <w:rFonts w:ascii="Calibri" w:hAnsi="Calibri"/>
          <w:b/>
          <w:sz w:val="22"/>
        </w:rPr>
        <w:t>Deliverable:</w:t>
      </w:r>
      <w:r>
        <w:rPr>
          <w:rFonts w:ascii="Calibri" w:hAnsi="Calibri"/>
          <w:sz w:val="22"/>
        </w:rPr>
        <w:t xml:space="preserve"> Assessment Report</w:t>
      </w:r>
    </w:p>
    <w:p>
      <w:pPr>
        <w:pStyle w:val="Heading3"/>
        <w:spacing w:before="160" w:after="120"/>
        <w:ind w:left="0" w:firstLine="0"/>
      </w:pPr>
      <w:r>
        <w:t>3.3.2 Phase 2 – Solution Design &amp; Environment Setup (Weeks 5-8)</w:t>
      </w:r>
    </w:p>
    <w:p>
      <w:pPr>
        <w:spacing w:after="160"/>
      </w:pPr>
      <w:r>
        <w:rPr>
          <w:rFonts w:ascii="Calibri" w:hAnsi="Calibri"/>
          <w:sz w:val="22"/>
        </w:rPr>
        <w:t>In this phase, the foundational infrastructure is provisioned and configured based on industry best practices.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and platform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Network connectivity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Centralized logging and monitoring setup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control, authentication, and authorization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baseline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strategies and disaster recovery setup</w:t>
      </w:r>
    </w:p>
    <w:p>
      <w:pPr>
        <w:pStyle w:val="Heading3"/>
        <w:spacing w:before="160" w:after="120"/>
        <w:ind w:left="0" w:firstLine="0"/>
      </w:pPr>
      <w:r>
        <w:t>3.3.3 Phase 3 – Implementation &amp; Execution (Weeks 9-20)</w:t>
      </w:r>
    </w:p>
    <w:p>
      <w:pPr>
        <w:spacing w:after="160"/>
      </w:pPr>
      <w:r>
        <w:rPr>
          <w:rFonts w:ascii="Calibri" w:hAnsi="Calibri"/>
          <w:sz w:val="22"/>
        </w:rPr>
        <w:t>Implementation will occur in well-defined phases based on business priority and complexity.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Component development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migration and integration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System configuration and tuning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Incremental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remediation and quality assurance</w:t>
      </w:r>
    </w:p>
    <w:p>
      <w:pPr>
        <w:spacing w:after="160"/>
      </w:pPr>
      <w:r>
        <w:rPr>
          <w:rFonts w:ascii="Calibri" w:hAnsi="Calibri"/>
          <w:b/>
          <w:sz w:val="22"/>
        </w:rPr>
        <w:t>Deliverable:</w:t>
      </w:r>
      <w:r>
        <w:rPr>
          <w:rFonts w:ascii="Calibri" w:hAnsi="Calibri"/>
          <w:sz w:val="22"/>
        </w:rPr>
        <w:t xml:space="preserve"> Implementation Runbook</w:t>
      </w:r>
    </w:p>
    <w:p>
      <w:pPr>
        <w:pStyle w:val="Heading3"/>
        <w:spacing w:before="160" w:after="120"/>
        <w:ind w:left="0" w:firstLine="0"/>
      </w:pPr>
      <w:r>
        <w:t>3.3.4 Phase 4 – Testing &amp; Validation (Weeks 21-24)</w:t>
      </w:r>
    </w:p>
    <w:p>
      <w:pPr>
        <w:spacing w:after="160"/>
      </w:pPr>
      <w:r>
        <w:rPr>
          <w:rFonts w:ascii="Calibri" w:hAnsi="Calibri"/>
          <w:sz w:val="22"/>
        </w:rPr>
        <w:t>The solution undergoes thorough functional, performance, and security validation.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Smoke testing and sanity checks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benchmarking and load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and compliance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Failover and resiliency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(UAT)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Go-live readiness review</w:t>
      </w:r>
    </w:p>
    <w:p>
      <w:pPr>
        <w:spacing w:after="160"/>
      </w:pPr>
      <w:r>
        <w:rPr>
          <w:rFonts w:ascii="Calibri" w:hAnsi="Calibri"/>
          <w:b/>
          <w:sz w:val="22"/>
        </w:rPr>
        <w:t>Deliverable:</w:t>
      </w:r>
      <w:r>
        <w:rPr>
          <w:rFonts w:ascii="Calibri" w:hAnsi="Calibri"/>
          <w:sz w:val="22"/>
        </w:rPr>
        <w:t xml:space="preserve"> Test Results Report</w:t>
      </w:r>
    </w:p>
    <w:p>
      <w:pPr>
        <w:pStyle w:val="Heading3"/>
        <w:spacing w:before="160" w:after="120"/>
        <w:ind w:left="0" w:firstLine="0"/>
      </w:pPr>
      <w:r>
        <w:t>3.3.5 Phase 5 – Handover &amp; Support (Weeks 25-28)</w:t>
      </w:r>
    </w:p>
    <w:p>
      <w:pPr>
        <w:spacing w:after="160"/>
      </w:pPr>
      <w:r>
        <w:rPr>
          <w:rFonts w:ascii="Calibri" w:hAnsi="Calibri"/>
          <w:sz w:val="22"/>
        </w:rPr>
        <w:t>Following successful implementation, focus shifts to ensuring operational continuity.</w:t>
      </w:r>
    </w:p>
    <w:p>
      <w:pPr>
        <w:spacing w:after="160"/>
      </w:pPr>
      <w:r>
        <w:rPr>
          <w:rFonts w:ascii="Calibri" w:hAnsi="Calibri"/>
          <w:sz w:val="22"/>
        </w:rPr>
        <w:t>Key activities: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Delivery of as-built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Runbook and SOPs for day-to-day operations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Live knowledge transfer sessions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4-week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Deliverable:</w:t>
      </w:r>
      <w:r>
        <w:rPr>
          <w:rFonts w:ascii="Calibri" w:hAnsi="Calibri"/>
          <w:sz w:val="22"/>
        </w:rPr>
        <w:t xml:space="preserve"> As-Built Documentation &amp; Knowledge Transfer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Assessment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Design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Implementation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Live/Recorded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2"/>
        <w:spacing w:before="240" w:after="120"/>
        <w:ind w:left="0" w:firstLine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Assessment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Design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Implementation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Live/Recorded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2"/>
        <w:spacing w:before="240" w:after="120"/>
        <w:ind w:left="0" w:firstLine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Milestone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Target Date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M1 - Assessment Complete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Discovery and analysis finished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M2 - Environment Ready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 provisioned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M3 - Implementation Complete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All components deployed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20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M4 - Testing Complete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UAT and validation passed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24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Go-Live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Production launch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25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Hypercare End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period complete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28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Milestones and Timeline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Task/Role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Sec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Discovery &amp; Requirements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Implementation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Configuration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Task/Role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Sec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Discovery &amp; Requirements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Implementation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Configuration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Cloud 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Specialist: Security controls and compliance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Lead: Security and compliance approval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SME: Requirements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8289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8289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Solution Architecture</w:t>
      </w:r>
    </w:p>
    <w:p>
      <w:pPr>
        <w:spacing w:after="160"/>
      </w:pPr>
      <w:r>
        <w:rPr>
          <w:rFonts w:ascii="Calibri" w:hAnsi="Calibri"/>
          <w:sz w:val="22"/>
        </w:rPr>
        <w:t>The proposed architecture provides a secure, scalable, and compliant foundation for current and future workloads. Key components include: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Presentation Tier:</w:t>
      </w:r>
      <w:r>
        <w:rPr>
          <w:rFonts w:ascii="Calibri" w:hAnsi="Calibri"/>
          <w:sz w:val="22"/>
        </w:rPr>
        <w:t xml:space="preserve"> Load balancers, CDN, API Gateway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Application Tier:</w:t>
      </w:r>
      <w:r>
        <w:rPr>
          <w:rFonts w:ascii="Calibri" w:hAnsi="Calibri"/>
          <w:sz w:val="22"/>
        </w:rPr>
        <w:t xml:space="preserve"> Containerized microservices, auto-scaling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Data Tier:</w:t>
      </w:r>
      <w:r>
        <w:rPr>
          <w:rFonts w:ascii="Calibri" w:hAnsi="Calibri"/>
          <w:sz w:val="22"/>
        </w:rPr>
        <w:t xml:space="preserve"> Managed databases, caching, storage</w:t>
      </w:r>
    </w:p>
    <w:p>
      <w:pPr>
        <w:pStyle w:val="Heading2"/>
        <w:spacing w:before="240" w:after="120"/>
        <w:ind w:left="0" w:firstLine="0"/>
      </w:pPr>
      <w:r>
        <w:t>6.2 Technical Implementation Strategy</w:t>
      </w:r>
    </w:p>
    <w:p>
      <w:pPr>
        <w:spacing w:after="160"/>
      </w:pPr>
      <w:r>
        <w:rPr>
          <w:rFonts w:ascii="Calibri" w:hAnsi="Calibri"/>
          <w:sz w:val="22"/>
        </w:rPr>
        <w:t>The deployment will follow a phased migration approach with blue-green deployment patterns for minimal downtime.</w:t>
      </w:r>
    </w:p>
    <w:p>
      <w:pPr>
        <w:spacing w:after="160"/>
      </w:pPr>
      <w:r>
        <w:rPr>
          <w:rFonts w:ascii="Calibri" w:hAnsi="Calibri"/>
          <w:b/>
          <w:sz w:val="22"/>
        </w:rPr>
        <w:t>Migration Patterns: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Lift-and-shift for compatible workloads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Re-platform for optimization opportunities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Re-architecture for critical modernization needs</w:t>
      </w:r>
    </w:p>
    <w:p>
      <w:pPr>
        <w:spacing w:after="160"/>
      </w:pPr>
      <w:r>
        <w:rPr>
          <w:rFonts w:ascii="Calibri" w:hAnsi="Calibri"/>
          <w:b/>
          <w:sz w:val="22"/>
        </w:rPr>
        <w:t>Infrastructure as Code:</w:t>
      </w:r>
      <w:r>
        <w:rPr>
          <w:rFonts w:ascii="Calibri" w:hAnsi="Calibri"/>
          <w:sz w:val="22"/>
        </w:rPr>
        <w:br/>
        <w:t>All infrastructure will be deployed using IaC tools (Terraform/CloudFormation) for consistency, version control, and repeatability.</w:t>
      </w:r>
    </w:p>
    <w:p>
      <w:pPr>
        <w:pStyle w:val="Heading2"/>
        <w:spacing w:before="240" w:after="120"/>
        <w:ind w:left="0" w:firstLine="0"/>
      </w:pPr>
      <w:r>
        <w:t>6.3 Tooling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Category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Primary Tools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Alternative Options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Terraform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CloudFormation, Pulumi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Mgmt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Ansible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Chef, Puppet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Monitoring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Prometheus + Grafana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Datadog, New Relic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CI/CD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Jenkins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GitHub Actions, GitLab CI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Scanning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Snyk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Aqua, Twistlock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6</w:t>
      </w:r>
      <w:r>
        <w:fldChar w:fldCharType="end"/>
      </w:r>
      <w:r>
        <w:rPr>
          <w:rFonts w:ascii="Calibri" w:hAnsi="Calibri"/>
          <w:sz w:val="24"/>
        </w:rPr>
        <w:t>: Implementation Tools and Technologies</w:t>
      </w:r>
    </w:p>
    <w:p>
      <w:pPr>
        <w:pStyle w:val="Heading2"/>
        <w:spacing w:before="240" w:after="120"/>
        <w:ind w:left="0" w:firstLine="0"/>
      </w:pPr>
      <w:r>
        <w:t>6.4 Data Management</w:t>
      </w:r>
    </w:p>
    <w:p>
      <w:pPr>
        <w:spacing w:after="160"/>
      </w:pPr>
      <w:r>
        <w:rPr>
          <w:rFonts w:ascii="Calibri" w:hAnsi="Calibri"/>
          <w:b/>
          <w:sz w:val="22"/>
        </w:rPr>
        <w:t>Data Migration Strategy: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Incremental migration with minimal downtime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validation and integrity checks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in-transit and at-rest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Classification aligned with Client's policies</w:t>
      </w:r>
    </w:p>
    <w:p>
      <w:pPr>
        <w:spacing w:after="160"/>
      </w:pPr>
      <w:r>
        <w:rPr>
          <w:rFonts w:ascii="Calibri" w:hAnsi="Calibri"/>
          <w:b/>
          <w:sz w:val="22"/>
        </w:rPr>
        <w:t>Backup &amp; Disaster Recovery: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backup policies (daily, weekly, monthly)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High availability configuration across zones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DR site in secondary region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RTO: 4 hours | RPO: 1 hour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access controls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aligned with Client's teams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Single sign-on (SSO) federation with existing identity provider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and change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SIEM integration for centralized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vulnerability scanning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SOC 2 Type II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HIPAA controls (if applicable)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PCI-DSS requirements (if applicable)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Continuous compliance assessment and reporting</w:t>
      </w:r>
    </w:p>
    <w:p>
      <w:pPr>
        <w:pStyle w:val="Heading2"/>
        <w:spacing w:before="240" w:after="120"/>
        <w:ind w:left="0" w:firstLine="0"/>
      </w:pPr>
      <w:r>
        <w:t>7.4 Encryption &amp; Key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TLS 1.3 for data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AES-256 for data at-rest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Centralized key management service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key rotation policies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application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API integration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(expected peak traffic)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(2x peak capacity)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Latency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Auto-scaling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(third-party)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Disaster Recovery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Failover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restoration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RTO/RPO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Runbook execution testing</w:t>
      </w:r>
    </w:p>
    <w:p>
      <w:pPr>
        <w:pStyle w:val="Heading2"/>
        <w:spacing w:before="240" w:after="120"/>
        <w:ind w:left="0" w:firstLine="0"/>
      </w:pPr>
      <w:r>
        <w:t>8.2 Go-Live Readiness Checklist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met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sign-off obtained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Data integrity verified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Runbooks documented and tested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Rollback procedures validated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approval obtained</w:t>
      </w:r>
    </w:p>
    <w:p>
      <w:pPr>
        <w:pStyle w:val="Heading2"/>
        <w:spacing w:before="240" w:after="120"/>
        <w:ind w:left="0" w:firstLine="0"/>
      </w:pPr>
      <w:r>
        <w:t>8.3 Cutover Plan</w:t>
      </w:r>
    </w:p>
    <w:p>
      <w:pPr>
        <w:spacing w:after="160"/>
      </w:pPr>
      <w:r>
        <w:rPr>
          <w:rFonts w:ascii="Calibri" w:hAnsi="Calibri"/>
          <w:b/>
          <w:sz w:val="22"/>
        </w:rPr>
        <w:t>Pre-Cutover: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Final data sync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DNS TTL reduction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Communication to stakeholders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team on standby</w:t>
      </w:r>
    </w:p>
    <w:p>
      <w:pPr>
        <w:spacing w:after="160"/>
      </w:pPr>
      <w:r>
        <w:rPr>
          <w:rFonts w:ascii="Calibri" w:hAnsi="Calibri"/>
          <w:b/>
          <w:sz w:val="22"/>
        </w:rPr>
        <w:t>Cutover Window: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Scheduled maintenance window (Saturday 10 PM - Sunday 6 AM)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Traffic redirection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Health check monitoring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Validation testing</w:t>
      </w:r>
    </w:p>
    <w:p>
      <w:pPr>
        <w:spacing w:after="160"/>
      </w:pPr>
      <w:r>
        <w:rPr>
          <w:rFonts w:ascii="Calibri" w:hAnsi="Calibri"/>
          <w:b/>
          <w:sz w:val="22"/>
        </w:rPr>
        <w:t>Rollback Strategy: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Documented rollback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Backup restoration process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DNS revert capability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Maximum rollback time: 2 hours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management practices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 and SOPs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EST)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Knowledge transfer continuation</w:t>
      </w:r>
    </w:p>
    <w:p>
      <w:pPr>
        <w:pStyle w:val="Heading2"/>
        <w:spacing w:before="240" w:after="120"/>
        <w:ind w:left="0" w:firstLine="0"/>
      </w:pPr>
      <w:r>
        <w:t>9.3 Managed Services Transition (Optional)</w:t>
      </w:r>
    </w:p>
    <w:p>
      <w:pPr>
        <w:spacing w:after="160"/>
      </w:pPr>
      <w:r>
        <w:rPr>
          <w:rFonts w:ascii="Calibri" w:hAnsi="Calibri"/>
          <w:sz w:val="22"/>
        </w:rPr>
        <w:t>Post-hypercare, Client may transition to ongoing managed services: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24/7 monitoring and support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Proactive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Patch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Capacity planning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$12,225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($990)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$11,235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$12,225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$12,225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$35,685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$64,300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($5,000)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$59,300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$59,300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$7,650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$7,650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$7,650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$7,650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$22,950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$84,175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($5,990)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$78,185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$19,875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$19,875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$117,935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7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2"/>
        <w:spacing w:before="240" w:after="120"/>
        <w:ind w:left="0" w:firstLine="0"/>
      </w:pPr>
      <w:r>
        <w:t>10.1 Cost Components</w:t>
      </w:r>
    </w:p>
    <w:p>
      <w:pPr>
        <w:spacing w:after="160"/>
      </w:pPr>
      <w:r>
        <w:rPr>
          <w:rFonts w:ascii="Calibri" w:hAnsi="Calibri"/>
          <w:b/>
          <w:sz w:val="22"/>
        </w:rPr>
        <w:t>Professional Services (76%):</w:t>
      </w:r>
      <w:r>
        <w:rPr>
          <w:rFonts w:ascii="Calibri" w:hAnsi="Calibri"/>
          <w:sz w:val="22"/>
        </w:rPr>
        <w:t xml:space="preserve"> Labor costs for discovery, design, implementation, testing, and knowledge transfer. Detailed breakdown provided in level-of-effort-estimate.xlsx.</w:t>
      </w:r>
    </w:p>
    <w:p>
      <w:pPr>
        <w:spacing w:after="160"/>
      </w:pPr>
      <w:r>
        <w:rPr>
          <w:rFonts w:ascii="Calibri" w:hAnsi="Calibri"/>
          <w:b/>
          <w:sz w:val="22"/>
        </w:rPr>
        <w:t>Cloud Infrastructure (14%):</w:t>
      </w:r>
      <w:r>
        <w:rPr>
          <w:rFonts w:ascii="Calibri" w:hAnsi="Calibri"/>
          <w:sz w:val="22"/>
        </w:rPr>
        <w:t xml:space="preserve"> Platform services, compute, storage, networking. Monthly estimates based on sizing analysis.</w:t>
      </w:r>
    </w:p>
    <w:p>
      <w:pPr>
        <w:spacing w:after="160"/>
      </w:pPr>
      <w:r>
        <w:rPr>
          <w:rFonts w:ascii="Calibri" w:hAnsi="Calibri"/>
          <w:b/>
          <w:sz w:val="22"/>
        </w:rPr>
        <w:t>Software Licenses (9%):</w:t>
      </w:r>
      <w:r>
        <w:rPr>
          <w:rFonts w:ascii="Calibri" w:hAnsi="Calibri"/>
          <w:sz w:val="22"/>
        </w:rPr>
        <w:t xml:space="preserve"> Third-party tools and services required for implementation.</w:t>
      </w:r>
    </w:p>
    <w:p>
      <w:pPr>
        <w:spacing w:after="160"/>
      </w:pPr>
      <w:r>
        <w:rPr>
          <w:rFonts w:ascii="Calibri" w:hAnsi="Calibri"/>
          <w:b/>
          <w:sz w:val="22"/>
        </w:rPr>
        <w:t>Partner Credits:</w:t>
      </w:r>
      <w:r>
        <w:rPr>
          <w:rFonts w:ascii="Calibri" w:hAnsi="Calibri"/>
          <w:sz w:val="22"/>
        </w:rPr>
        <w:t xml:space="preserve"> One-time credits applied to offset Year 1 costs.</w:t>
      </w:r>
    </w:p>
    <w:p>
      <w:pPr>
        <w:pStyle w:val="Heading2"/>
        <w:spacing w:before="240" w:after="120"/>
        <w:ind w:left="0" w:firstLine="0"/>
      </w:pPr>
      <w:r>
        <w:t>10.2 Payment Terms</w:t>
      </w:r>
    </w:p>
    <w:p>
      <w:pPr>
        <w:spacing w:after="160"/>
      </w:pPr>
      <w:r>
        <w:rPr>
          <w:rFonts w:ascii="Calibri" w:hAnsi="Calibri"/>
          <w:b/>
          <w:sz w:val="22"/>
        </w:rPr>
        <w:t>Pricing Model:</w:t>
      </w:r>
      <w:r>
        <w:rPr>
          <w:rFonts w:ascii="Calibri" w:hAnsi="Calibri"/>
          <w:sz w:val="22"/>
        </w:rPr>
        <w:t xml:space="preserve"> Fixed price with milestone-based payments</w:t>
      </w:r>
    </w:p>
    <w:p>
      <w:pPr>
        <w:spacing w:after="160"/>
      </w:pPr>
      <w:r>
        <w:rPr>
          <w:rFonts w:ascii="Calibri" w:hAnsi="Calibri"/>
          <w:b/>
          <w:sz w:val="22"/>
        </w:rPr>
        <w:t>Payment Schedule: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30% upon SOW execution and project kickoff ($23,456)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30% upon completion of Phase 2 - Solution Design ($23,456)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25% upon completion of Phase 3 - Implementation ($19,546)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15% upon successful go-live and project acceptance ($11,728)</w:t>
      </w:r>
    </w:p>
    <w:p>
      <w:pPr>
        <w:spacing w:after="160"/>
      </w:pPr>
      <w:r>
        <w:rPr>
          <w:rFonts w:ascii="Calibri" w:hAnsi="Calibri"/>
          <w:b/>
          <w:sz w:val="22"/>
        </w:rPr>
        <w:t>Invoicing:</w:t>
      </w:r>
      <w:r>
        <w:rPr>
          <w:rFonts w:ascii="Calibri" w:hAnsi="Calibri"/>
          <w:sz w:val="22"/>
        </w:rPr>
        <w:t xml:space="preserve"> Monthly invoicing based on milestones completed. Net 30 payment terms.</w:t>
      </w:r>
    </w:p>
    <w:p>
      <w:pPr>
        <w:spacing w:after="160"/>
      </w:pPr>
      <w:r>
        <w:rPr>
          <w:rFonts w:ascii="Calibri" w:hAnsi="Calibri"/>
          <w:b/>
          <w:sz w:val="22"/>
        </w:rPr>
        <w:t>Expenses:</w:t>
      </w:r>
      <w:r>
        <w:rPr>
          <w:rFonts w:ascii="Calibri" w:hAnsi="Calibri"/>
          <w:sz w:val="22"/>
        </w:rPr>
        <w:t xml:space="preserve"> Travel and incidental expenses reimbursable at cost with prior written approval.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deliverables, configurations, and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on best-effort basis unless specified in SLA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Liability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Liability capped as defined in MSA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Excludes gross negligence, willful misconduct, or IP infringement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Professional liability insurance maintained</w:t>
      </w:r>
    </w:p>
    <w:p>
      <w:pPr>
        <w:pStyle w:val="Heading2"/>
        <w:spacing w:before="240" w:after="120"/>
        <w:ind w:left="0" w:firstLine="0"/>
      </w:pPr>
      <w:r>
        <w:t>11.6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11.7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Transition assistance available upon request</w:t>
      </w:r>
    </w:p>
    <w:p>
      <w:pPr>
        <w:pStyle w:val="Heading2"/>
        <w:spacing w:before="240" w:after="120"/>
        <w:ind w:left="0" w:firstLine="0"/>
      </w:pPr>
      <w:r>
        <w:t>11.8 Governing Law</w:t>
      </w:r>
    </w:p>
    <w:p>
      <w:pPr>
        <w:spacing w:after="160"/>
      </w:pPr>
      <w:r>
        <w:rPr>
          <w:rFonts w:ascii="Calibri" w:hAnsi="Calibri"/>
          <w:sz w:val="22"/>
        </w:rPr>
        <w:t>This agreement shall be governed by the laws of the State of [State], without regard to conflict of law principles.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 and supersedes all prior negotiations, representations, or agreements relating to the subject matter.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Enterprise Cloud Migration &amp; Modernization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