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drawing>
          <wp:inline xmlns:a="http://schemas.openxmlformats.org/drawingml/2006/main" xmlns:pic="http://schemas.openxmlformats.org/drawingml/2006/picture">
            <wp:extent cx="1828800" cy="609600"/>
            <wp:docPr id="1" name="Picture 1"/>
            <wp:cNvGraphicFramePr>
              <a:graphicFrameLocks noChangeAspect="1"/>
            </wp:cNvGraphicFramePr>
            <a:graphic>
              <a:graphicData uri="http://schemas.openxmlformats.org/drawingml/2006/picture">
                <pic:pic>
                  <pic:nvPicPr>
                    <pic:cNvPr id="0" name="client_logo.png"/>
                    <pic:cNvPicPr/>
                  </pic:nvPicPr>
                  <pic:blipFill>
                    <a:blip r:embed="rId9"/>
                    <a:stretch>
                      <a:fillRect/>
                    </a:stretch>
                  </pic:blipFill>
                  <pic:spPr>
                    <a:xfrm>
                      <a:off x="0" y="0"/>
                      <a:ext cx="1828800" cy="609600"/>
                    </a:xfrm>
                    <a:prstGeom prst="rect"/>
                  </pic:spPr>
                </pic:pic>
              </a:graphicData>
            </a:graphic>
          </wp:inline>
        </w:drawing>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Enterprise Solution Implementation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Project Deliverables and Acceptance Criteria</w:t>
        <w:tab/>
        <w:t>3</w:t>
        <w:br/>
      </w:r>
      <w:r>
        <w:rPr>
          <w:rFonts w:ascii="Calibri" w:hAnsi="Calibri"/>
          <w:sz w:val="24"/>
        </w:rPr>
        <w:t>Table 2: Project Deliverables and Acceptance Criteria</w:t>
        <w:tab/>
        <w:t>4</w:t>
        <w:br/>
      </w:r>
      <w:r>
        <w:rPr>
          <w:rFonts w:ascii="Calibri" w:hAnsi="Calibri"/>
          <w:sz w:val="24"/>
        </w:rPr>
        <w:t>Table 3: Project Milestones and Timeline</w:t>
        <w:tab/>
        <w:t>5</w:t>
        <w:br/>
      </w:r>
      <w:r>
        <w:rPr>
          <w:rFonts w:ascii="Calibri" w:hAnsi="Calibri"/>
          <w:sz w:val="24"/>
        </w:rPr>
        <w:t>Table 4: Project Milestones and Timeline</w:t>
        <w:tab/>
        <w:t>6</w:t>
        <w:br/>
      </w:r>
      <w:r>
        <w:rPr>
          <w:rFonts w:ascii="Calibri" w:hAnsi="Calibri"/>
          <w:sz w:val="24"/>
        </w:rPr>
        <w:t>Table 5: Roles and Responsibilities (RACI Matrix)</w:t>
        <w:tab/>
        <w:t>7</w:t>
        <w:br/>
      </w:r>
      <w:r>
        <w:rPr>
          <w:rFonts w:ascii="Calibri" w:hAnsi="Calibri"/>
          <w:sz w:val="24"/>
        </w:rPr>
        <w:t>Table 6: Total Investment</w:t>
        <w:tab/>
        <w:t>8</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 xml:space="preserve">This Statement of Work (SOW) defines the scope, deliverables, roles, and terms for a </w:t>
      </w:r>
      <w:r>
        <w:rPr>
          <w:rFonts w:ascii="Calibri" w:hAnsi="Calibri"/>
          <w:b/>
          <w:sz w:val="22"/>
        </w:rPr>
        <w:t>small-scope, lift-and-shift</w:t>
      </w:r>
      <w:r>
        <w:rPr>
          <w:rFonts w:ascii="Calibri" w:hAnsi="Calibri"/>
          <w:sz w:val="22"/>
        </w:rPr>
        <w:t xml:space="preserve"> migration of 15-25 workloads from on-premise infrastructure to Amazon Web Services (AWS).</w:t>
      </w:r>
    </w:p>
    <w:p>
      <w:pPr>
        <w:spacing w:after="160"/>
      </w:pPr>
      <w:r>
        <w:rPr>
          <w:rFonts w:ascii="Calibri" w:hAnsi="Calibri"/>
          <w:b/>
          <w:sz w:val="22"/>
        </w:rPr>
        <w:t>Small Scope Migration:</w:t>
      </w:r>
    </w:p>
    <w:p>
      <w:pPr>
        <w:spacing w:after="80"/>
        <w:ind w:left="720" w:hanging="360"/>
      </w:pPr>
      <w:r>
        <w:rPr>
          <w:rFonts w:ascii="Calibri" w:hAnsi="Calibri"/>
          <w:sz w:val="22"/>
        </w:rPr>
        <w:t xml:space="preserve">• </w:t>
      </w:r>
      <w:r>
        <w:rPr>
          <w:rFonts w:ascii="Calibri" w:hAnsi="Calibri"/>
          <w:b/>
          <w:sz w:val="22"/>
        </w:rPr>
        <w:t>Workloads:</w:t>
      </w:r>
      <w:r>
        <w:rPr>
          <w:rFonts w:ascii="Calibri" w:hAnsi="Calibri"/>
          <w:sz w:val="22"/>
        </w:rPr>
        <w:t xml:space="preserve"> 15-25 VMs/applications</w:t>
      </w:r>
    </w:p>
    <w:p>
      <w:pPr>
        <w:spacing w:after="80"/>
        <w:ind w:left="720" w:hanging="360"/>
      </w:pPr>
      <w:r>
        <w:rPr>
          <w:rFonts w:ascii="Calibri" w:hAnsi="Calibri"/>
          <w:sz w:val="22"/>
        </w:rPr>
        <w:t xml:space="preserve">• </w:t>
      </w:r>
      <w:r>
        <w:rPr>
          <w:rFonts w:ascii="Calibri" w:hAnsi="Calibri"/>
          <w:b/>
          <w:sz w:val="22"/>
        </w:rPr>
        <w:t>Migration Strategy:</w:t>
      </w:r>
      <w:r>
        <w:rPr>
          <w:rFonts w:ascii="Calibri" w:hAnsi="Calibri"/>
          <w:sz w:val="22"/>
        </w:rPr>
        <w:t xml:space="preserve"> Lift-and-shift (rehost) - not refactoring</w:t>
      </w:r>
    </w:p>
    <w:p>
      <w:pPr>
        <w:spacing w:after="80"/>
        <w:ind w:left="720" w:hanging="360"/>
      </w:pPr>
      <w:r>
        <w:rPr>
          <w:rFonts w:ascii="Calibri" w:hAnsi="Calibri"/>
          <w:sz w:val="22"/>
        </w:rPr>
        <w:t xml:space="preserve">• </w:t>
      </w:r>
      <w:r>
        <w:rPr>
          <w:rFonts w:ascii="Calibri" w:hAnsi="Calibri"/>
          <w:b/>
          <w:sz w:val="22"/>
        </w:rPr>
        <w:t>Infrastructure:</w:t>
      </w:r>
      <w:r>
        <w:rPr>
          <w:rFonts w:ascii="Calibri" w:hAnsi="Calibri"/>
          <w:sz w:val="22"/>
        </w:rPr>
        <w:t xml:space="preserve"> 3x t3.large EC2, db.t3.large RDS Multi-AZ, 1TB storage</w:t>
      </w:r>
    </w:p>
    <w:p>
      <w:pPr>
        <w:spacing w:after="80"/>
        <w:ind w:left="720" w:hanging="360"/>
      </w:pPr>
      <w:r>
        <w:rPr>
          <w:rFonts w:ascii="Calibri" w:hAnsi="Calibri"/>
          <w:sz w:val="22"/>
        </w:rPr>
        <w:t xml:space="preserve">• </w:t>
      </w:r>
      <w:r>
        <w:rPr>
          <w:rFonts w:ascii="Calibri" w:hAnsi="Calibri"/>
          <w:b/>
          <w:sz w:val="22"/>
        </w:rPr>
        <w:t>Timeline:</w:t>
      </w:r>
      <w:r>
        <w:rPr>
          <w:rFonts w:ascii="Calibri" w:hAnsi="Calibri"/>
          <w:sz w:val="22"/>
        </w:rPr>
        <w:t xml:space="preserve"> 4-6 months from discovery to cutover</w:t>
      </w:r>
    </w:p>
    <w:p>
      <w:pPr>
        <w:spacing w:after="80"/>
        <w:ind w:left="720" w:hanging="360"/>
      </w:pPr>
      <w:r>
        <w:rPr>
          <w:rFonts w:ascii="Calibri" w:hAnsi="Calibri"/>
          <w:sz w:val="22"/>
        </w:rPr>
        <w:t xml:space="preserve">• </w:t>
      </w:r>
      <w:r>
        <w:rPr>
          <w:rFonts w:ascii="Calibri" w:hAnsi="Calibri"/>
          <w:b/>
          <w:sz w:val="22"/>
        </w:rPr>
        <w:t>Total Investment:</w:t>
      </w:r>
      <w:r>
        <w:rPr>
          <w:rFonts w:ascii="Calibri" w:hAnsi="Calibri"/>
          <w:sz w:val="22"/>
        </w:rPr>
        <w:t xml:space="preserve"> $167,448 over 3 years ($139,316 Year 1)</w:t>
      </w:r>
    </w:p>
    <w:p>
      <w:pPr>
        <w:spacing w:after="160"/>
      </w:pPr>
      <w:r>
        <w:rPr>
          <w:rFonts w:ascii="Calibri" w:hAnsi="Calibri"/>
          <w:b/>
          <w:sz w:val="22"/>
        </w:rPr>
        <w:t>Key Outcomes:</w:t>
      </w:r>
    </w:p>
    <w:p>
      <w:pPr>
        <w:spacing w:after="80"/>
        <w:ind w:left="720" w:hanging="360"/>
      </w:pPr>
      <w:r>
        <w:rPr>
          <w:rFonts w:ascii="Calibri" w:hAnsi="Calibri"/>
          <w:sz w:val="22"/>
        </w:rPr>
        <w:t xml:space="preserve">• </w:t>
      </w:r>
      <w:r>
        <w:rPr>
          <w:rFonts w:ascii="Calibri" w:hAnsi="Calibri"/>
          <w:sz w:val="22"/>
        </w:rPr>
        <w:t>Eliminate data center costs for migrated workloads</w:t>
      </w:r>
    </w:p>
    <w:p>
      <w:pPr>
        <w:spacing w:after="80"/>
        <w:ind w:left="720" w:hanging="360"/>
      </w:pPr>
      <w:r>
        <w:rPr>
          <w:rFonts w:ascii="Calibri" w:hAnsi="Calibri"/>
          <w:sz w:val="22"/>
        </w:rPr>
        <w:t xml:space="preserve">• </w:t>
      </w:r>
      <w:r>
        <w:rPr>
          <w:rFonts w:ascii="Calibri" w:hAnsi="Calibri"/>
          <w:sz w:val="22"/>
        </w:rPr>
        <w:t>61% cost reduction vs. keeping on-premise</w:t>
      </w:r>
    </w:p>
    <w:p>
      <w:pPr>
        <w:spacing w:after="80"/>
        <w:ind w:left="720" w:hanging="360"/>
      </w:pPr>
      <w:r>
        <w:rPr>
          <w:rFonts w:ascii="Calibri" w:hAnsi="Calibri"/>
          <w:sz w:val="22"/>
        </w:rPr>
        <w:t xml:space="preserve">• </w:t>
      </w:r>
      <w:r>
        <w:rPr>
          <w:rFonts w:ascii="Calibri" w:hAnsi="Calibri"/>
          <w:sz w:val="22"/>
        </w:rPr>
        <w:t>Cloud scalability and AWS managed services benefits</w:t>
      </w:r>
    </w:p>
    <w:p>
      <w:pPr>
        <w:spacing w:after="80"/>
        <w:ind w:left="720" w:hanging="360"/>
      </w:pPr>
      <w:r>
        <w:rPr>
          <w:rFonts w:ascii="Calibri" w:hAnsi="Calibri"/>
          <w:sz w:val="22"/>
        </w:rPr>
        <w:t xml:space="preserve">• </w:t>
      </w:r>
      <w:r>
        <w:rPr>
          <w:rFonts w:ascii="Calibri" w:hAnsi="Calibri"/>
          <w:sz w:val="22"/>
        </w:rPr>
        <w:t>Foundation to expand migration to additional workloads</w:t>
      </w:r>
    </w:p>
    <w:p>
      <w:pPr>
        <w:pStyle w:val="Heading1"/>
        <w:spacing w:before="160" w:after="120"/>
        <w:ind w:left="0" w:firstLine="0"/>
      </w:pPr>
      <w:r>
        <w:t>2 Background &amp; Objectives</w:t>
      </w:r>
    </w:p>
    <w:p>
      <w:pPr>
        <w:pStyle w:val="Heading2"/>
        <w:spacing w:before="240" w:after="120"/>
        <w:ind w:left="0" w:firstLine="0"/>
      </w:pPr>
      <w:r>
        <w:t>2.1 Background</w:t>
      </w:r>
    </w:p>
    <w:p>
      <w:pPr>
        <w:spacing w:after="160"/>
      </w:pPr>
      <w:r>
        <w:rPr>
          <w:rFonts w:ascii="Calibri" w:hAnsi="Calibri"/>
          <w:sz w:val="22"/>
        </w:rPr>
        <w:t xml:space="preserve">Client currently hosts </w:t>
      </w:r>
      <w:r>
        <w:rPr>
          <w:rFonts w:ascii="Calibri" w:hAnsi="Calibri"/>
          <w:b/>
          <w:sz w:val="22"/>
        </w:rPr>
        <w:t>[#] applications</w:t>
      </w:r>
      <w:r>
        <w:rPr>
          <w:rFonts w:ascii="Calibri" w:hAnsi="Calibri"/>
          <w:sz w:val="22"/>
        </w:rPr>
        <w:t xml:space="preserve"> on </w:t>
      </w:r>
      <w:r>
        <w:rPr>
          <w:rFonts w:ascii="Calibri" w:hAnsi="Calibri"/>
          <w:b/>
          <w:sz w:val="22"/>
        </w:rPr>
        <w:t>[VMware/Hyper-V/Physical servers]</w:t>
      </w:r>
      <w:r>
        <w:rPr>
          <w:rFonts w:ascii="Calibri" w:hAnsi="Calibri"/>
          <w:sz w:val="22"/>
        </w:rPr>
        <w:t xml:space="preserve"> across </w:t>
      </w:r>
      <w:r>
        <w:rPr>
          <w:rFonts w:ascii="Calibri" w:hAnsi="Calibri"/>
          <w:b/>
          <w:sz w:val="22"/>
        </w:rPr>
        <w:t>[#] environments</w:t>
      </w:r>
      <w:r>
        <w:rPr>
          <w:rFonts w:ascii="Calibri" w:hAnsi="Calibri"/>
          <w:sz w:val="22"/>
        </w:rPr>
        <w:t>. Challenges include:</w:t>
      </w:r>
    </w:p>
    <w:p>
      <w:pPr>
        <w:spacing w:after="80"/>
        <w:ind w:left="720" w:hanging="360"/>
      </w:pPr>
      <w:r>
        <w:rPr>
          <w:rFonts w:ascii="Calibri" w:hAnsi="Calibri"/>
          <w:sz w:val="22"/>
        </w:rPr>
        <w:t xml:space="preserve">• </w:t>
      </w:r>
      <w:r>
        <w:rPr>
          <w:rFonts w:ascii="Calibri" w:hAnsi="Calibri"/>
          <w:sz w:val="22"/>
        </w:rPr>
        <w:t>[e.g., scaling]</w:t>
      </w:r>
    </w:p>
    <w:p>
      <w:pPr>
        <w:spacing w:after="80"/>
        <w:ind w:left="720" w:hanging="360"/>
      </w:pPr>
      <w:r>
        <w:rPr>
          <w:rFonts w:ascii="Calibri" w:hAnsi="Calibri"/>
          <w:sz w:val="22"/>
        </w:rPr>
        <w:t xml:space="preserve">• </w:t>
      </w:r>
      <w:r>
        <w:rPr>
          <w:rFonts w:ascii="Calibri" w:hAnsi="Calibri"/>
          <w:sz w:val="22"/>
        </w:rPr>
        <w:t>[e.g., end-of-life hardware]</w:t>
      </w:r>
    </w:p>
    <w:p>
      <w:pPr>
        <w:spacing w:after="80"/>
        <w:ind w:left="720" w:hanging="360"/>
      </w:pPr>
      <w:r>
        <w:rPr>
          <w:rFonts w:ascii="Calibri" w:hAnsi="Calibri"/>
          <w:sz w:val="22"/>
        </w:rPr>
        <w:t xml:space="preserve">• </w:t>
      </w:r>
      <w:r>
        <w:rPr>
          <w:rFonts w:ascii="Calibri" w:hAnsi="Calibri"/>
          <w:sz w:val="22"/>
        </w:rPr>
        <w:t>[e.g., data center contract expiration]</w:t>
      </w:r>
    </w:p>
    <w:p>
      <w:pPr>
        <w:pStyle w:val="Heading2"/>
        <w:spacing w:before="240" w:after="120"/>
        <w:ind w:left="0" w:firstLine="0"/>
      </w:pPr>
      <w:r>
        <w:t>2.2 Objectives</w:t>
      </w:r>
    </w:p>
    <w:p>
      <w:pPr>
        <w:spacing w:after="80"/>
        <w:ind w:left="720" w:hanging="360"/>
      </w:pPr>
      <w:r>
        <w:rPr>
          <w:rFonts w:ascii="Calibri" w:hAnsi="Calibri"/>
          <w:sz w:val="22"/>
        </w:rPr>
        <w:t xml:space="preserve">• </w:t>
      </w:r>
      <w:r>
        <w:rPr>
          <w:rFonts w:ascii="Calibri" w:hAnsi="Calibri"/>
          <w:sz w:val="22"/>
        </w:rPr>
        <w:t xml:space="preserve">Migrate </w:t>
      </w:r>
      <w:r>
        <w:rPr>
          <w:rFonts w:ascii="Calibri" w:hAnsi="Calibri"/>
          <w:b/>
          <w:sz w:val="22"/>
        </w:rPr>
        <w:t>[#] workloads</w:t>
      </w:r>
      <w:r>
        <w:rPr>
          <w:rFonts w:ascii="Calibri" w:hAnsi="Calibri"/>
          <w:sz w:val="22"/>
        </w:rPr>
        <w:t xml:space="preserve"> to AWS using proven tooling such as AWS MGN and DMS.</w:t>
      </w:r>
    </w:p>
    <w:p>
      <w:pPr>
        <w:spacing w:after="80"/>
        <w:ind w:left="720" w:hanging="360"/>
      </w:pPr>
      <w:r>
        <w:rPr>
          <w:rFonts w:ascii="Calibri" w:hAnsi="Calibri"/>
          <w:sz w:val="22"/>
        </w:rPr>
        <w:t xml:space="preserve">• </w:t>
      </w:r>
      <w:r>
        <w:rPr>
          <w:rFonts w:ascii="Calibri" w:hAnsi="Calibri"/>
          <w:sz w:val="22"/>
        </w:rPr>
        <w:t>Improve security posture using VPC segmentation, IAM controls, GuardDuty, etc.</w:t>
      </w:r>
    </w:p>
    <w:p>
      <w:pPr>
        <w:spacing w:after="80"/>
        <w:ind w:left="720" w:hanging="360"/>
      </w:pPr>
      <w:r>
        <w:rPr>
          <w:rFonts w:ascii="Calibri" w:hAnsi="Calibri"/>
          <w:sz w:val="22"/>
        </w:rPr>
        <w:t xml:space="preserve">• </w:t>
      </w:r>
      <w:r>
        <w:rPr>
          <w:rFonts w:ascii="Calibri" w:hAnsi="Calibri"/>
          <w:sz w:val="22"/>
        </w:rPr>
        <w:t>Reduce TCO by leveraging managed services (e.g., RDS, ECS Fargate).</w:t>
      </w:r>
    </w:p>
    <w:p>
      <w:pPr>
        <w:spacing w:after="80"/>
        <w:ind w:left="720" w:hanging="360"/>
      </w:pPr>
      <w:r>
        <w:rPr>
          <w:rFonts w:ascii="Calibri" w:hAnsi="Calibri"/>
          <w:sz w:val="22"/>
        </w:rPr>
        <w:t xml:space="preserve">• </w:t>
      </w:r>
      <w:r>
        <w:rPr>
          <w:rFonts w:ascii="Calibri" w:hAnsi="Calibri"/>
          <w:sz w:val="22"/>
        </w:rPr>
        <w:t>Enable DR across AZs or regions where applicable.</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Zero high-severity issues during cutover</w:t>
      </w:r>
    </w:p>
    <w:p>
      <w:pPr>
        <w:spacing w:after="80"/>
        <w:ind w:left="720" w:hanging="360"/>
      </w:pPr>
      <w:r>
        <w:rPr>
          <w:rFonts w:ascii="Calibri" w:hAnsi="Calibri"/>
          <w:sz w:val="22"/>
        </w:rPr>
        <w:t xml:space="preserve">• </w:t>
      </w:r>
      <w:r>
        <w:rPr>
          <w:rFonts w:ascii="Calibri" w:hAnsi="Calibri"/>
          <w:sz w:val="22"/>
        </w:rPr>
        <w:t>App latency &lt; [X ms] post-migration</w:t>
      </w:r>
    </w:p>
    <w:p>
      <w:pPr>
        <w:spacing w:after="80"/>
        <w:ind w:left="720" w:hanging="360"/>
      </w:pPr>
      <w:r>
        <w:rPr>
          <w:rFonts w:ascii="Calibri" w:hAnsi="Calibri"/>
          <w:sz w:val="22"/>
        </w:rPr>
        <w:t xml:space="preserve">• </w:t>
      </w:r>
      <w:r>
        <w:rPr>
          <w:rFonts w:ascii="Calibri" w:hAnsi="Calibri"/>
          <w:sz w:val="22"/>
        </w:rPr>
        <w:t>99.9% uptime during the stabilization period</w:t>
      </w:r>
    </w:p>
    <w:p>
      <w:pPr>
        <w:spacing w:after="80"/>
        <w:ind w:left="720" w:hanging="360"/>
      </w:pPr>
      <w:r>
        <w:rPr>
          <w:rFonts w:ascii="Calibri" w:hAnsi="Calibri"/>
          <w:sz w:val="22"/>
        </w:rPr>
        <w:t xml:space="preserve">• </w:t>
      </w:r>
      <w:r>
        <w:rPr>
          <w:rFonts w:ascii="Calibri" w:hAnsi="Calibri"/>
          <w:sz w:val="22"/>
        </w:rPr>
        <w:t>20–35% cost reduction vs. on-prem within 12 months</w:t>
      </w:r>
    </w:p>
    <w:p>
      <w:pPr>
        <w:pStyle w:val="Heading1"/>
        <w:spacing w:before="160" w:after="120"/>
        <w:ind w:left="0" w:firstLine="0"/>
      </w:pPr>
      <w:r>
        <w:t>3 Scope of Work</w:t>
      </w:r>
    </w:p>
    <w:p>
      <w:pPr>
        <w:pStyle w:val="Heading3"/>
        <w:spacing w:before="160" w:after="120"/>
        <w:ind w:left="0" w:firstLine="0"/>
      </w:pPr>
      <w:r>
        <w:t>3.1 In Scope</w:t>
      </w:r>
    </w:p>
    <w:p>
      <w:pPr>
        <w:spacing w:after="80"/>
        <w:ind w:left="720" w:hanging="360"/>
      </w:pPr>
      <w:r>
        <w:rPr>
          <w:rFonts w:ascii="Calibri" w:hAnsi="Calibri"/>
          <w:sz w:val="22"/>
        </w:rPr>
        <w:t xml:space="preserve">• </w:t>
      </w:r>
      <w:r>
        <w:rPr>
          <w:rFonts w:ascii="Calibri" w:hAnsi="Calibri"/>
          <w:sz w:val="22"/>
        </w:rPr>
        <w:t>Workload discovery &amp; dependency analysis (via AWS Application Discovery Service)</w:t>
      </w:r>
    </w:p>
    <w:p>
      <w:pPr>
        <w:spacing w:after="80"/>
        <w:ind w:left="720" w:hanging="360"/>
      </w:pPr>
      <w:r>
        <w:rPr>
          <w:rFonts w:ascii="Calibri" w:hAnsi="Calibri"/>
          <w:sz w:val="22"/>
        </w:rPr>
        <w:t xml:space="preserve">• </w:t>
      </w:r>
      <w:r>
        <w:rPr>
          <w:rFonts w:ascii="Calibri" w:hAnsi="Calibri"/>
          <w:sz w:val="22"/>
        </w:rPr>
        <w:t>AWS Landing Zone deployment (Control Tower or Terraform)</w:t>
      </w:r>
    </w:p>
    <w:p>
      <w:pPr>
        <w:spacing w:after="80"/>
        <w:ind w:left="720" w:hanging="360"/>
      </w:pPr>
      <w:r>
        <w:rPr>
          <w:rFonts w:ascii="Calibri" w:hAnsi="Calibri"/>
          <w:sz w:val="22"/>
        </w:rPr>
        <w:t xml:space="preserve">• </w:t>
      </w:r>
      <w:r>
        <w:rPr>
          <w:rFonts w:ascii="Calibri" w:hAnsi="Calibri"/>
          <w:sz w:val="22"/>
        </w:rPr>
        <w:t>VPC, subnet, routing, and shared services setup</w:t>
      </w:r>
    </w:p>
    <w:p>
      <w:pPr>
        <w:spacing w:after="80"/>
        <w:ind w:left="720" w:hanging="360"/>
      </w:pPr>
      <w:r>
        <w:rPr>
          <w:rFonts w:ascii="Calibri" w:hAnsi="Calibri"/>
          <w:sz w:val="22"/>
        </w:rPr>
        <w:t xml:space="preserve">• </w:t>
      </w:r>
      <w:r>
        <w:rPr>
          <w:rFonts w:ascii="Calibri" w:hAnsi="Calibri"/>
          <w:sz w:val="22"/>
        </w:rPr>
        <w:t>Workload migration using AWS MGN / CloudEndure</w:t>
      </w:r>
    </w:p>
    <w:p>
      <w:pPr>
        <w:spacing w:after="80"/>
        <w:ind w:left="720" w:hanging="360"/>
      </w:pPr>
      <w:r>
        <w:rPr>
          <w:rFonts w:ascii="Calibri" w:hAnsi="Calibri"/>
          <w:sz w:val="22"/>
        </w:rPr>
        <w:t xml:space="preserve">• </w:t>
      </w:r>
      <w:r>
        <w:rPr>
          <w:rFonts w:ascii="Calibri" w:hAnsi="Calibri"/>
          <w:sz w:val="22"/>
        </w:rPr>
        <w:t>RDS migration (if part of replatform strategy)</w:t>
      </w:r>
    </w:p>
    <w:p>
      <w:pPr>
        <w:spacing w:after="80"/>
        <w:ind w:left="720" w:hanging="360"/>
      </w:pPr>
      <w:r>
        <w:rPr>
          <w:rFonts w:ascii="Calibri" w:hAnsi="Calibri"/>
          <w:sz w:val="22"/>
        </w:rPr>
        <w:t xml:space="preserve">• </w:t>
      </w:r>
      <w:r>
        <w:rPr>
          <w:rFonts w:ascii="Calibri" w:hAnsi="Calibri"/>
          <w:sz w:val="22"/>
        </w:rPr>
        <w:t>Cutover, DNS updates, and validation</w:t>
      </w:r>
    </w:p>
    <w:p>
      <w:pPr>
        <w:spacing w:after="80"/>
        <w:ind w:left="720" w:hanging="360"/>
      </w:pPr>
      <w:r>
        <w:rPr>
          <w:rFonts w:ascii="Calibri" w:hAnsi="Calibri"/>
          <w:sz w:val="22"/>
        </w:rPr>
        <w:t xml:space="preserve">• </w:t>
      </w:r>
      <w:r>
        <w:rPr>
          <w:rFonts w:ascii="Calibri" w:hAnsi="Calibri"/>
          <w:sz w:val="22"/>
        </w:rPr>
        <w:t>Knowledge transfer and documentation</w:t>
      </w:r>
    </w:p>
    <w:p>
      <w:pPr>
        <w:pStyle w:val="Heading3"/>
        <w:spacing w:before="160" w:after="120"/>
        <w:ind w:left="0" w:firstLine="0"/>
      </w:pPr>
      <w:r>
        <w:t>3.2 Activities</w:t>
      </w:r>
    </w:p>
    <w:p>
      <w:pPr>
        <w:pStyle w:val="Heading3"/>
        <w:spacing w:before="160" w:after="120"/>
        <w:ind w:left="0" w:firstLine="0"/>
      </w:pPr>
      <w:r>
        <w:t>3.3 Phase 1 – Discovery &amp; Assessment</w:t>
      </w:r>
    </w:p>
    <w:p>
      <w:pPr>
        <w:spacing w:after="160"/>
      </w:pPr>
      <w:r>
        <w:rPr>
          <w:rFonts w:ascii="Calibri" w:hAnsi="Calibri"/>
          <w:sz w:val="22"/>
        </w:rPr>
        <w:t>During this initial phase, the Vendor will perform a comprehensive assessment of the Client’s infrastructure and application landscape. This includes analyzing existing workloads, identifying dependencies, and determining the most appropriate migration strategy for each workload.</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Comprehensive infrastructure discovery and inventory</w:t>
      </w:r>
    </w:p>
    <w:p>
      <w:pPr>
        <w:spacing w:after="80"/>
        <w:ind w:left="720" w:hanging="360"/>
      </w:pPr>
      <w:r>
        <w:rPr>
          <w:rFonts w:ascii="Calibri" w:hAnsi="Calibri"/>
          <w:sz w:val="22"/>
        </w:rPr>
        <w:t xml:space="preserve">• </w:t>
      </w:r>
      <w:r>
        <w:rPr>
          <w:rFonts w:ascii="Calibri" w:hAnsi="Calibri"/>
          <w:sz w:val="22"/>
        </w:rPr>
        <w:t>Application portfolio analysis and dependency mapping</w:t>
      </w:r>
    </w:p>
    <w:p>
      <w:pPr>
        <w:spacing w:after="80"/>
        <w:ind w:left="720" w:hanging="360"/>
      </w:pPr>
      <w:r>
        <w:rPr>
          <w:rFonts w:ascii="Calibri" w:hAnsi="Calibri"/>
          <w:sz w:val="22"/>
        </w:rPr>
        <w:t xml:space="preserve">• </w:t>
      </w:r>
      <w:r>
        <w:rPr>
          <w:rFonts w:ascii="Calibri" w:hAnsi="Calibri"/>
          <w:sz w:val="22"/>
        </w:rPr>
        <w:t>Migration readiness assessment using AWS MAP framework</w:t>
      </w:r>
    </w:p>
    <w:p>
      <w:pPr>
        <w:spacing w:after="80"/>
        <w:ind w:left="720" w:hanging="360"/>
      </w:pPr>
      <w:r>
        <w:rPr>
          <w:rFonts w:ascii="Calibri" w:hAnsi="Calibri"/>
          <w:sz w:val="22"/>
        </w:rPr>
        <w:t xml:space="preserve">• </w:t>
      </w:r>
      <w:r>
        <w:rPr>
          <w:rFonts w:ascii="Calibri" w:hAnsi="Calibri"/>
          <w:sz w:val="22"/>
        </w:rPr>
        <w:t>AWS architecture design and landing zone planning</w:t>
      </w:r>
    </w:p>
    <w:p>
      <w:pPr>
        <w:spacing w:after="80"/>
        <w:ind w:left="720" w:hanging="360"/>
      </w:pPr>
      <w:r>
        <w:rPr>
          <w:rFonts w:ascii="Calibri" w:hAnsi="Calibri"/>
          <w:sz w:val="22"/>
        </w:rPr>
        <w:t xml:space="preserve">• </w:t>
      </w:r>
      <w:r>
        <w:rPr>
          <w:rFonts w:ascii="Calibri" w:hAnsi="Calibri"/>
          <w:sz w:val="22"/>
        </w:rPr>
        <w:t>Migration wave planning and prioritization</w:t>
      </w:r>
    </w:p>
    <w:p>
      <w:pPr>
        <w:spacing w:after="80"/>
        <w:ind w:left="720" w:hanging="360"/>
      </w:pPr>
      <w:r>
        <w:rPr>
          <w:rFonts w:ascii="Calibri" w:hAnsi="Calibri"/>
          <w:sz w:val="22"/>
        </w:rPr>
        <w:t xml:space="preserve">• </w:t>
      </w:r>
      <w:r>
        <w:rPr>
          <w:rFonts w:ascii="Calibri" w:hAnsi="Calibri"/>
          <w:sz w:val="22"/>
        </w:rPr>
        <w:t>Cost estimation and right-sizing recommendations</w:t>
      </w:r>
    </w:p>
    <w:p>
      <w:pPr>
        <w:spacing w:after="160"/>
      </w:pPr>
      <w:r>
        <w:rPr>
          <w:rFonts w:ascii="Calibri" w:hAnsi="Calibri"/>
          <w:sz w:val="22"/>
        </w:rPr>
        <w:t>This phase concludes with a Migration Assessment Report that outlines the proposed plan, scope, risks, and timeline.</w:t>
      </w:r>
    </w:p>
    <w:p>
      <w:pPr>
        <w:pStyle w:val="Heading3"/>
        <w:spacing w:before="160" w:after="120"/>
        <w:ind w:left="0" w:firstLine="0"/>
      </w:pPr>
      <w:r>
        <w:t>3.4 Phase 2 – Landing Zone &amp; Infrastructure Deployment</w:t>
      </w:r>
    </w:p>
    <w:p>
      <w:pPr>
        <w:spacing w:after="160"/>
      </w:pPr>
      <w:r>
        <w:rPr>
          <w:rFonts w:ascii="Calibri" w:hAnsi="Calibri"/>
          <w:sz w:val="22"/>
        </w:rPr>
        <w:t>In this phase, the foundational AWS infrastructure is provisioned and configured based on AWS best practices. This includes account structure, network setup, security controls, monitoring, and access management.</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AWS Landing Zone implementation with account provisioning</w:t>
      </w:r>
    </w:p>
    <w:p>
      <w:pPr>
        <w:spacing w:after="80"/>
        <w:ind w:left="720" w:hanging="360"/>
      </w:pPr>
      <w:r>
        <w:rPr>
          <w:rFonts w:ascii="Calibri" w:hAnsi="Calibri"/>
          <w:sz w:val="22"/>
        </w:rPr>
        <w:t xml:space="preserve">• </w:t>
      </w:r>
      <w:r>
        <w:rPr>
          <w:rFonts w:ascii="Calibri" w:hAnsi="Calibri"/>
          <w:sz w:val="22"/>
        </w:rPr>
        <w:t>Network connectivity setup using VPN or Direct Connect</w:t>
      </w:r>
    </w:p>
    <w:p>
      <w:pPr>
        <w:spacing w:after="80"/>
        <w:ind w:left="720" w:hanging="360"/>
      </w:pPr>
      <w:r>
        <w:rPr>
          <w:rFonts w:ascii="Calibri" w:hAnsi="Calibri"/>
          <w:sz w:val="22"/>
        </w:rPr>
        <w:t xml:space="preserve">• </w:t>
      </w:r>
      <w:r>
        <w:rPr>
          <w:rFonts w:ascii="Calibri" w:hAnsi="Calibri"/>
          <w:sz w:val="22"/>
        </w:rPr>
        <w:t>Centralized logging and monitoring via CloudWatch, CloudTrail, and security services</w:t>
      </w:r>
    </w:p>
    <w:p>
      <w:pPr>
        <w:spacing w:after="80"/>
        <w:ind w:left="720" w:hanging="360"/>
      </w:pPr>
      <w:r>
        <w:rPr>
          <w:rFonts w:ascii="Calibri" w:hAnsi="Calibri"/>
          <w:sz w:val="22"/>
        </w:rPr>
        <w:t xml:space="preserve">• </w:t>
      </w:r>
      <w:r>
        <w:rPr>
          <w:rFonts w:ascii="Calibri" w:hAnsi="Calibri"/>
          <w:sz w:val="22"/>
        </w:rPr>
        <w:t>IAM roles, SSO, MFA policies based on least-privilege model</w:t>
      </w:r>
    </w:p>
    <w:p>
      <w:pPr>
        <w:spacing w:after="80"/>
        <w:ind w:left="720" w:hanging="360"/>
      </w:pPr>
      <w:r>
        <w:rPr>
          <w:rFonts w:ascii="Calibri" w:hAnsi="Calibri"/>
          <w:sz w:val="22"/>
        </w:rPr>
        <w:t xml:space="preserve">• </w:t>
      </w:r>
      <w:r>
        <w:rPr>
          <w:rFonts w:ascii="Calibri" w:hAnsi="Calibri"/>
          <w:sz w:val="22"/>
        </w:rPr>
        <w:t>Baseline security configuration using AWS Config, GuardDuty, and SCPs</w:t>
      </w:r>
    </w:p>
    <w:p>
      <w:pPr>
        <w:spacing w:after="80"/>
        <w:ind w:left="720" w:hanging="360"/>
      </w:pPr>
      <w:r>
        <w:rPr>
          <w:rFonts w:ascii="Calibri" w:hAnsi="Calibri"/>
          <w:sz w:val="22"/>
        </w:rPr>
        <w:t xml:space="preserve">• </w:t>
      </w:r>
      <w:r>
        <w:rPr>
          <w:rFonts w:ascii="Calibri" w:hAnsi="Calibri"/>
          <w:sz w:val="22"/>
        </w:rPr>
        <w:t>Implementation of automated backup strategies and disaster recovery setup</w:t>
      </w:r>
    </w:p>
    <w:p>
      <w:pPr>
        <w:spacing w:after="160"/>
      </w:pPr>
      <w:r>
        <w:rPr>
          <w:rFonts w:ascii="Calibri" w:hAnsi="Calibri"/>
          <w:sz w:val="22"/>
        </w:rPr>
        <w:t>By the end of this phase, the Client will have a secure, production-ready AWS environment for hosting migrated workloads.</w:t>
      </w:r>
    </w:p>
    <w:p>
      <w:pPr>
        <w:pStyle w:val="Heading3"/>
        <w:spacing w:before="160" w:after="120"/>
        <w:ind w:left="0" w:firstLine="0"/>
      </w:pPr>
      <w:r>
        <w:t>3.5 Phase 3 – Migration Execution (in waves)</w:t>
      </w:r>
    </w:p>
    <w:p>
      <w:pPr>
        <w:spacing w:after="160"/>
      </w:pPr>
      <w:r>
        <w:rPr>
          <w:rFonts w:ascii="Calibri" w:hAnsi="Calibri"/>
          <w:sz w:val="22"/>
        </w:rPr>
        <w:t>Migration of workloads will occur in well-defined waves based on business priority and workload complexity. Each wave follows a repeatable factory approach with automated processes for consistency and risk reduction.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Migration factory setup with CI/CD and automation tooling</w:t>
      </w:r>
    </w:p>
    <w:p>
      <w:pPr>
        <w:spacing w:after="80"/>
        <w:ind w:left="720" w:hanging="360"/>
      </w:pPr>
      <w:r>
        <w:rPr>
          <w:rFonts w:ascii="Calibri" w:hAnsi="Calibri"/>
          <w:sz w:val="22"/>
        </w:rPr>
        <w:t xml:space="preserve">• </w:t>
      </w:r>
      <w:r>
        <w:rPr>
          <w:rFonts w:ascii="Calibri" w:hAnsi="Calibri"/>
          <w:sz w:val="22"/>
        </w:rPr>
        <w:t>Database migrations using AWS DMS or native tools (e.g., RMAN, SQL)</w:t>
      </w:r>
    </w:p>
    <w:p>
      <w:pPr>
        <w:spacing w:after="80"/>
        <w:ind w:left="720" w:hanging="360"/>
      </w:pPr>
      <w:r>
        <w:rPr>
          <w:rFonts w:ascii="Calibri" w:hAnsi="Calibri"/>
          <w:sz w:val="22"/>
        </w:rPr>
        <w:t xml:space="preserve">• </w:t>
      </w:r>
      <w:r>
        <w:rPr>
          <w:rFonts w:ascii="Calibri" w:hAnsi="Calibri"/>
          <w:sz w:val="22"/>
        </w:rPr>
        <w:t>Application migration via rehost, replatform, or refactor strategies</w:t>
      </w:r>
    </w:p>
    <w:p>
      <w:pPr>
        <w:spacing w:after="80"/>
        <w:ind w:left="720" w:hanging="360"/>
      </w:pPr>
      <w:r>
        <w:rPr>
          <w:rFonts w:ascii="Calibri" w:hAnsi="Calibri"/>
          <w:sz w:val="22"/>
        </w:rPr>
        <w:t xml:space="preserve">• </w:t>
      </w:r>
      <w:r>
        <w:rPr>
          <w:rFonts w:ascii="Calibri" w:hAnsi="Calibri"/>
          <w:sz w:val="22"/>
        </w:rPr>
        <w:t>Incremental or real-time data sync between source and target systems</w:t>
      </w:r>
    </w:p>
    <w:p>
      <w:pPr>
        <w:spacing w:after="80"/>
        <w:ind w:left="720" w:hanging="360"/>
      </w:pPr>
      <w:r>
        <w:rPr>
          <w:rFonts w:ascii="Calibri" w:hAnsi="Calibri"/>
          <w:sz w:val="22"/>
        </w:rPr>
        <w:t xml:space="preserve">• </w:t>
      </w:r>
      <w:r>
        <w:rPr>
          <w:rFonts w:ascii="Calibri" w:hAnsi="Calibri"/>
          <w:sz w:val="22"/>
        </w:rPr>
        <w:t>DNS updates, endpoint reconfiguration</w:t>
      </w:r>
    </w:p>
    <w:p>
      <w:pPr>
        <w:spacing w:after="80"/>
        <w:ind w:left="720" w:hanging="360"/>
      </w:pPr>
      <w:r>
        <w:rPr>
          <w:rFonts w:ascii="Calibri" w:hAnsi="Calibri"/>
          <w:sz w:val="22"/>
        </w:rPr>
        <w:t xml:space="preserve">• </w:t>
      </w:r>
      <w:r>
        <w:rPr>
          <w:rFonts w:ascii="Calibri" w:hAnsi="Calibri"/>
          <w:sz w:val="22"/>
        </w:rPr>
        <w:t>Resource right-sizing and performance optimization</w:t>
      </w:r>
    </w:p>
    <w:p>
      <w:pPr>
        <w:spacing w:after="160"/>
      </w:pPr>
      <w:r>
        <w:rPr>
          <w:rFonts w:ascii="Calibri" w:hAnsi="Calibri"/>
          <w:sz w:val="22"/>
        </w:rPr>
        <w:t>After each wave, the Vendor will coordinate validation and sign-off with the Client before proceeding.</w:t>
      </w:r>
    </w:p>
    <w:p>
      <w:pPr>
        <w:pStyle w:val="Heading3"/>
        <w:spacing w:before="160" w:after="120"/>
        <w:ind w:left="0" w:firstLine="0"/>
      </w:pPr>
      <w:r>
        <w:t>3.6 Phase 4 – Testing &amp; Cutover</w:t>
      </w:r>
    </w:p>
    <w:p>
      <w:pPr>
        <w:spacing w:after="160"/>
      </w:pPr>
      <w:r>
        <w:rPr>
          <w:rFonts w:ascii="Calibri" w:hAnsi="Calibri"/>
          <w:sz w:val="22"/>
        </w:rPr>
        <w:t>In the Testing and Cutover phase, migrated workloads undergo thorough functional, performance, and failover validation to ensure they meet required SLAs and compliance standards. Test cases and scripts will be executed based on Client-defined acceptance criteria.</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Smoke testing and sanity checks for each migrated workload</w:t>
      </w:r>
    </w:p>
    <w:p>
      <w:pPr>
        <w:spacing w:after="80"/>
        <w:ind w:left="720" w:hanging="360"/>
      </w:pPr>
      <w:r>
        <w:rPr>
          <w:rFonts w:ascii="Calibri" w:hAnsi="Calibri"/>
          <w:sz w:val="22"/>
        </w:rPr>
        <w:t xml:space="preserve">• </w:t>
      </w:r>
      <w:r>
        <w:rPr>
          <w:rFonts w:ascii="Calibri" w:hAnsi="Calibri"/>
          <w:sz w:val="22"/>
        </w:rPr>
        <w:t>Performance benchmarking vs. on-premise baselines</w:t>
      </w:r>
    </w:p>
    <w:p>
      <w:pPr>
        <w:spacing w:after="80"/>
        <w:ind w:left="720" w:hanging="360"/>
      </w:pPr>
      <w:r>
        <w:rPr>
          <w:rFonts w:ascii="Calibri" w:hAnsi="Calibri"/>
          <w:sz w:val="22"/>
        </w:rPr>
        <w:t xml:space="preserve">• </w:t>
      </w:r>
      <w:r>
        <w:rPr>
          <w:rFonts w:ascii="Calibri" w:hAnsi="Calibri"/>
          <w:sz w:val="22"/>
        </w:rPr>
        <w:t>Failover and resiliency testing (Multi-AZ, DR)</w:t>
      </w:r>
    </w:p>
    <w:p>
      <w:pPr>
        <w:spacing w:after="80"/>
        <w:ind w:left="720" w:hanging="360"/>
      </w:pPr>
      <w:r>
        <w:rPr>
          <w:rFonts w:ascii="Calibri" w:hAnsi="Calibri"/>
          <w:sz w:val="22"/>
        </w:rPr>
        <w:t xml:space="preserve">• </w:t>
      </w:r>
      <w:r>
        <w:rPr>
          <w:rFonts w:ascii="Calibri" w:hAnsi="Calibri"/>
          <w:sz w:val="22"/>
        </w:rPr>
        <w:t>Final synchronization of data (if using DMS)</w:t>
      </w:r>
    </w:p>
    <w:p>
      <w:pPr>
        <w:spacing w:after="80"/>
        <w:ind w:left="720" w:hanging="360"/>
      </w:pPr>
      <w:r>
        <w:rPr>
          <w:rFonts w:ascii="Calibri" w:hAnsi="Calibri"/>
          <w:sz w:val="22"/>
        </w:rPr>
        <w:t xml:space="preserve">• </w:t>
      </w:r>
      <w:r>
        <w:rPr>
          <w:rFonts w:ascii="Calibri" w:hAnsi="Calibri"/>
          <w:sz w:val="22"/>
        </w:rPr>
        <w:t>DNS cutover, user acceptance testing (UAT), and go-live readiness review</w:t>
      </w:r>
    </w:p>
    <w:p>
      <w:pPr>
        <w:spacing w:after="160"/>
      </w:pPr>
      <w:r>
        <w:rPr>
          <w:rFonts w:ascii="Calibri" w:hAnsi="Calibri"/>
          <w:sz w:val="22"/>
        </w:rPr>
        <w:t>Cutover will be coordinated with all relevant stakeholders and executed during an approved maintenance window, with well-documented rollback procedures in place.</w:t>
      </w:r>
    </w:p>
    <w:p>
      <w:pPr>
        <w:pStyle w:val="Heading3"/>
        <w:spacing w:before="160" w:after="120"/>
        <w:ind w:left="0" w:firstLine="0"/>
      </w:pPr>
      <w:r>
        <w:t>3.7 Phase 5 – Handover &amp; Post-Migration Support</w:t>
      </w:r>
    </w:p>
    <w:p>
      <w:pPr>
        <w:spacing w:after="160"/>
      </w:pPr>
      <w:r>
        <w:rPr>
          <w:rFonts w:ascii="Calibri" w:hAnsi="Calibri"/>
          <w:sz w:val="22"/>
        </w:rPr>
        <w:t>Following successful migration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Calibri" w:hAnsi="Calibri"/>
          <w:sz w:val="22"/>
        </w:rPr>
        <w:t>Activities include:</w:t>
      </w:r>
    </w:p>
    <w:p>
      <w:pPr>
        <w:spacing w:after="80"/>
        <w:ind w:left="720" w:hanging="360"/>
      </w:pPr>
      <w:r>
        <w:rPr>
          <w:rFonts w:ascii="Calibri" w:hAnsi="Calibri"/>
          <w:sz w:val="22"/>
        </w:rPr>
        <w:t xml:space="preserve">• </w:t>
      </w:r>
      <w:r>
        <w:rPr>
          <w:rFonts w:ascii="Calibri" w:hAnsi="Calibri"/>
          <w:sz w:val="22"/>
        </w:rPr>
        <w:t>Delivery of as-built documentation (including architecture diagrams, IAM permissions, monitoring setup, etc.)</w:t>
      </w:r>
    </w:p>
    <w:p>
      <w:pPr>
        <w:spacing w:after="80"/>
        <w:ind w:left="720" w:hanging="360"/>
      </w:pPr>
      <w:r>
        <w:rPr>
          <w:rFonts w:ascii="Calibri" w:hAnsi="Calibri"/>
          <w:sz w:val="22"/>
        </w:rPr>
        <w:t xml:space="preserve">• </w:t>
      </w:r>
      <w:r>
        <w:rPr>
          <w:rFonts w:ascii="Calibri" w:hAnsi="Calibri"/>
          <w:sz w:val="22"/>
        </w:rPr>
        <w:t>Runbook and SOPs for day-to-day operations</w:t>
      </w:r>
    </w:p>
    <w:p>
      <w:pPr>
        <w:spacing w:after="80"/>
        <w:ind w:left="720" w:hanging="360"/>
      </w:pPr>
      <w:r>
        <w:rPr>
          <w:rFonts w:ascii="Calibri" w:hAnsi="Calibri"/>
          <w:sz w:val="22"/>
        </w:rPr>
        <w:t xml:space="preserve">• </w:t>
      </w:r>
      <w:r>
        <w:rPr>
          <w:rFonts w:ascii="Calibri" w:hAnsi="Calibri"/>
          <w:sz w:val="22"/>
        </w:rPr>
        <w:t>Live or recorded knowledge transfer sessions for Ops and Application teams</w:t>
      </w:r>
    </w:p>
    <w:p>
      <w:pPr>
        <w:spacing w:after="80"/>
        <w:ind w:left="720" w:hanging="360"/>
      </w:pPr>
      <w:r>
        <w:rPr>
          <w:rFonts w:ascii="Calibri" w:hAnsi="Calibri"/>
          <w:sz w:val="22"/>
        </w:rPr>
        <w:t xml:space="preserve">• </w:t>
      </w:r>
      <w:r>
        <w:rPr>
          <w:rFonts w:ascii="Calibri" w:hAnsi="Calibri"/>
          <w:sz w:val="22"/>
        </w:rPr>
        <w:t>Cost optimization recommendations (based on AWS Trusted Advisor and Cost Explorer)</w:t>
      </w:r>
    </w:p>
    <w:p>
      <w:pPr>
        <w:spacing w:after="80"/>
        <w:ind w:left="720" w:hanging="360"/>
      </w:pPr>
      <w:r>
        <w:rPr>
          <w:rFonts w:ascii="Calibri" w:hAnsi="Calibri"/>
          <w:sz w:val="22"/>
        </w:rPr>
        <w:t xml:space="preserve">• </w:t>
      </w:r>
      <w:r>
        <w:rPr>
          <w:rFonts w:ascii="Calibri" w:hAnsi="Calibri"/>
          <w:sz w:val="22"/>
        </w:rPr>
        <w:t>Optional transition to a managed services model for 24/7 support, if contracted</w:t>
      </w:r>
    </w:p>
    <w:p>
      <w:pPr>
        <w:pStyle w:val="Heading2"/>
        <w:spacing w:before="240" w:after="120"/>
        <w:ind w:left="0" w:firstLine="0"/>
      </w:pPr>
      <w:r>
        <w:t>3.1 Out of Scope</w:t>
      </w:r>
    </w:p>
    <w:p>
      <w:pPr>
        <w:pStyle w:val="Heading2"/>
        <w:spacing w:before="240" w:after="120"/>
        <w:ind w:left="0" w:firstLine="0"/>
      </w:pPr>
      <w:r>
        <w:t>3.2 Exclusions</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Application refactoring (code-level changes)</w:t>
      </w:r>
    </w:p>
    <w:p>
      <w:pPr>
        <w:spacing w:after="80"/>
        <w:ind w:left="720" w:hanging="360"/>
      </w:pPr>
      <w:r>
        <w:rPr>
          <w:rFonts w:ascii="Calibri" w:hAnsi="Calibri"/>
          <w:sz w:val="22"/>
        </w:rPr>
        <w:t xml:space="preserve">• </w:t>
      </w:r>
      <w:r>
        <w:rPr>
          <w:rFonts w:ascii="Calibri" w:hAnsi="Calibri"/>
          <w:sz w:val="22"/>
        </w:rPr>
        <w:t>On-prem hardware recycling or disposal</w:t>
      </w:r>
    </w:p>
    <w:p>
      <w:pPr>
        <w:spacing w:after="80"/>
        <w:ind w:left="720" w:hanging="360"/>
      </w:pPr>
      <w:r>
        <w:rPr>
          <w:rFonts w:ascii="Calibri" w:hAnsi="Calibri"/>
          <w:sz w:val="22"/>
        </w:rPr>
        <w:t xml:space="preserve">• </w:t>
      </w:r>
      <w:r>
        <w:rPr>
          <w:rFonts w:ascii="Calibri" w:hAnsi="Calibri"/>
          <w:sz w:val="22"/>
        </w:rPr>
        <w:t>Managed services post-migration (unless separately contracted)</w:t>
      </w:r>
    </w:p>
    <w:p>
      <w:pPr>
        <w:spacing w:after="80"/>
        <w:ind w:left="720" w:hanging="360"/>
      </w:pPr>
      <w:r>
        <w:rPr>
          <w:rFonts w:ascii="Calibri" w:hAnsi="Calibri"/>
          <w:sz w:val="22"/>
        </w:rPr>
        <w:t xml:space="preserve">• </w:t>
      </w:r>
      <w:r>
        <w:rPr>
          <w:rFonts w:ascii="Calibri" w:hAnsi="Calibri"/>
          <w:sz w:val="22"/>
        </w:rPr>
        <w:t>Training for non-IT end users</w:t>
      </w:r>
    </w:p>
    <w:p>
      <w:pPr>
        <w:pStyle w:val="Heading1"/>
        <w:spacing w:before="160" w:after="120"/>
        <w:ind w:left="0" w:firstLine="0"/>
      </w:pPr>
      <w:r>
        <w:t>4 Deliverables &amp; Timeline</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Assessment Report</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Landing Zone Source Code</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IaC/Code</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Architect]</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Runbook &amp; Cutover Plan</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Diagrams &amp; Documentation</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Live/Recorded</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Project Deliverables and Acceptance Criteria</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Assessment Report</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Landing Zone Source Code</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IaC/Code</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Architect]</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Runbook &amp; Cutover Plan</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Diagrams &amp; Documentation</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Live/Recorded</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tbl>
      <w:tblPr>
        <w:tblStyle w:val="TableGrid"/>
        <w:tblW w:type="auto" w:w="0"/>
        <w:tblLayout w:type="fixed"/>
        <w:tblLook w:firstColumn="1" w:firstRow="1" w:lastColumn="0" w:lastRow="0" w:noHBand="0" w:noVBand="1" w:val="04A0"/>
      </w:tblPr>
      <w:tblGrid>
        <w:gridCol w:w="4320"/>
        <w:gridCol w:w="4320"/>
      </w:tblGrid>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 Assessment Complete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 Landing Zone Ready</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 Wave 1 App Migration</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 and Timeline</w:t>
      </w:r>
    </w:p>
    <w:p>
      <w:pPr>
        <w:pStyle w:val="Heading2"/>
        <w:spacing w:before="240" w:after="120"/>
        <w:ind w:left="0" w:firstLine="0"/>
      </w:pPr>
      <w:r>
        <w:t>4.3 Milestones</w:t>
      </w:r>
    </w:p>
    <w:tbl>
      <w:tblPr>
        <w:tblStyle w:val="TableGrid"/>
        <w:tblW w:type="auto" w:w="0"/>
        <w:tblLayout w:type="fixed"/>
        <w:tblLook w:firstColumn="1" w:firstRow="1" w:lastColumn="0" w:lastRow="0" w:noHBand="0" w:noVBand="1" w:val="04A0"/>
      </w:tblPr>
      <w:tblGrid>
        <w:gridCol w:w="4320"/>
        <w:gridCol w:w="4320"/>
      </w:tblGrid>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 Assessment Complete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 Landing Zone Ready</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 Wave 1 App Migration</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Project Milestones and Timeline</w:t>
      </w:r>
    </w:p>
    <w:p>
      <w:pPr>
        <w:pStyle w:val="Heading1"/>
        <w:spacing w:before="160" w:after="120"/>
        <w:ind w:left="0" w:firstLine="0"/>
      </w:pPr>
      <w:r>
        <w:t>5 Roles &amp; Responsibilities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Arch</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DevOps</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Sec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AWS SA</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Dependency Mapping</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Account &amp; Landing Zone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Network Setup (VPC, Routing)</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Migration Wave Design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Migration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 Cutover Execution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IAM &amp; 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Configuration (CW, X-Ray)</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Post-Migration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Roles and Responsibilities (RACI Matrix)</w:t>
      </w:r>
    </w:p>
    <w:p>
      <w:pPr>
        <w:spacing w:after="160"/>
      </w:pPr>
      <w:r>
        <w:rPr>
          <w:rFonts w:ascii="Calibri" w:hAnsi="Calibri"/>
          <w:sz w:val="22"/>
        </w:rPr>
        <w:t xml:space="preserve">Legend:  </w:t>
        <w:br/>
      </w:r>
      <w:r>
        <w:rPr>
          <w:rFonts w:ascii="Calibri" w:hAnsi="Calibri"/>
          <w:b/>
          <w:sz w:val="22"/>
        </w:rPr>
        <w:t>R</w:t>
      </w:r>
      <w:r>
        <w:rPr>
          <w:rFonts w:ascii="Calibri" w:hAnsi="Calibri"/>
          <w:sz w:val="22"/>
        </w:rPr>
        <w:t xml:space="preserve"> = Responsible | </w:t>
      </w:r>
      <w:r>
        <w:rPr>
          <w:rFonts w:ascii="Calibri" w:hAnsi="Calibri"/>
          <w:b/>
          <w:sz w:val="22"/>
        </w:rPr>
        <w:t>A</w:t>
      </w:r>
      <w:r>
        <w:rPr>
          <w:rFonts w:ascii="Calibri" w:hAnsi="Calibri"/>
          <w:sz w:val="22"/>
        </w:rPr>
        <w:t xml:space="preserve"> = Accountable | </w:t>
      </w:r>
      <w:r>
        <w:rPr>
          <w:rFonts w:ascii="Calibri" w:hAnsi="Calibri"/>
          <w:b/>
          <w:sz w:val="22"/>
        </w:rPr>
        <w:t>C</w:t>
      </w:r>
      <w:r>
        <w:rPr>
          <w:rFonts w:ascii="Calibri" w:hAnsi="Calibri"/>
          <w:sz w:val="22"/>
        </w:rPr>
        <w:t xml:space="preserve"> = Consulted | </w:t>
      </w:r>
      <w:r>
        <w:rPr>
          <w:rFonts w:ascii="Calibri" w:hAnsi="Calibri"/>
          <w:b/>
          <w:sz w:val="22"/>
        </w:rPr>
        <w:t>I</w:t>
      </w:r>
      <w:r>
        <w:rPr>
          <w:rFonts w:ascii="Calibri" w:hAnsi="Calibri"/>
          <w:sz w:val="22"/>
        </w:rPr>
        <w:t xml:space="preserve"> = Informed</w:t>
      </w:r>
    </w:p>
    <w:p>
      <w:pPr>
        <w:pStyle w:val="Heading1"/>
        <w:spacing w:before="160" w:after="120"/>
        <w:ind w:left="0" w:firstLine="0"/>
      </w:pPr>
      <w:r>
        <w:t>6 Architecture &amp; Design</w:t>
      </w:r>
    </w:p>
    <w:p>
      <w:pPr>
        <w:pStyle w:val="Heading1"/>
        <w:spacing w:before="160" w:after="120"/>
        <w:ind w:left="0" w:firstLine="0"/>
      </w:pPr>
      <w:r>
        <w:t>7 Security &amp; Compliance</w:t>
      </w:r>
    </w:p>
    <w:p>
      <w:pPr>
        <w:pStyle w:val="Heading2"/>
        <w:spacing w:before="240" w:after="120"/>
        <w:ind w:left="0" w:firstLine="0"/>
      </w:pPr>
      <w:r>
        <w:t>7.1 Environments &amp; Access</w:t>
      </w:r>
    </w:p>
    <w:p>
      <w:pPr>
        <w:pStyle w:val="Heading2"/>
        <w:spacing w:before="240" w:after="120"/>
        <w:ind w:left="0" w:firstLine="0"/>
      </w:pPr>
      <w:r>
        <w:t>7.2 Environments</w:t>
      </w:r>
    </w:p>
    <w:p>
      <w:pPr>
        <w:spacing w:after="80"/>
        <w:ind w:left="720" w:hanging="360"/>
      </w:pPr>
      <w:r>
        <w:rPr>
          <w:rFonts w:ascii="Calibri" w:hAnsi="Calibri"/>
          <w:sz w:val="22"/>
        </w:rPr>
        <w:t xml:space="preserve">• </w:t>
      </w:r>
      <w:r>
        <w:rPr>
          <w:rFonts w:ascii="Calibri" w:hAnsi="Calibri"/>
          <w:sz w:val="22"/>
        </w:rPr>
        <w:t>Dev, QA, Stage, Prod</w:t>
      </w:r>
    </w:p>
    <w:p>
      <w:pPr>
        <w:pStyle w:val="Heading2"/>
        <w:spacing w:before="240" w:after="120"/>
        <w:ind w:left="0" w:firstLine="0"/>
      </w:pPr>
      <w:r>
        <w:t>7.3 Access Policies</w:t>
      </w:r>
    </w:p>
    <w:p>
      <w:pPr>
        <w:spacing w:after="80"/>
        <w:ind w:left="720" w:hanging="360"/>
      </w:pPr>
      <w:r>
        <w:rPr>
          <w:rFonts w:ascii="Calibri" w:hAnsi="Calibri"/>
          <w:sz w:val="22"/>
        </w:rPr>
        <w:t xml:space="preserve">• </w:t>
      </w:r>
      <w:r>
        <w:rPr>
          <w:rFonts w:ascii="Calibri" w:hAnsi="Calibri"/>
          <w:sz w:val="22"/>
        </w:rPr>
        <w:t>MFA required</w:t>
      </w:r>
    </w:p>
    <w:p>
      <w:pPr>
        <w:spacing w:after="80"/>
        <w:ind w:left="720" w:hanging="360"/>
      </w:pPr>
      <w:r>
        <w:rPr>
          <w:rFonts w:ascii="Calibri" w:hAnsi="Calibri"/>
          <w:sz w:val="22"/>
        </w:rPr>
        <w:t xml:space="preserve">• </w:t>
      </w:r>
      <w:r>
        <w:rPr>
          <w:rFonts w:ascii="Calibri" w:hAnsi="Calibri"/>
          <w:sz w:val="22"/>
        </w:rPr>
        <w:t>SSO federation preferred</w:t>
      </w:r>
    </w:p>
    <w:p>
      <w:pPr>
        <w:spacing w:after="80"/>
        <w:ind w:left="720" w:hanging="360"/>
      </w:pPr>
      <w:r>
        <w:rPr>
          <w:rFonts w:ascii="Calibri" w:hAnsi="Calibri"/>
          <w:sz w:val="22"/>
        </w:rPr>
        <w:t xml:space="preserve">• </w:t>
      </w:r>
      <w:r>
        <w:rPr>
          <w:rFonts w:ascii="Calibri" w:hAnsi="Calibri"/>
          <w:sz w:val="22"/>
        </w:rPr>
        <w:t>No direct SSH — use SSM Session Manager</w:t>
      </w:r>
    </w:p>
    <w:p>
      <w:pPr>
        <w:pStyle w:val="Heading1"/>
        <w:spacing w:before="160" w:after="120"/>
        <w:ind w:left="0" w:firstLine="0"/>
      </w:pPr>
      <w:r>
        <w:t>8 Testing &amp; Validation</w:t>
      </w:r>
    </w:p>
    <w:p>
      <w:pPr>
        <w:spacing w:after="160"/>
      </w:pPr>
      <w:r>
        <w:rPr>
          <w:rFonts w:ascii="Calibri" w:hAnsi="Calibri"/>
          <w:sz w:val="22"/>
        </w:rPr>
        <w:t>Comprehensive testing and validation will take place throughout the migration lifecycle to ensure functionality, performance, security, and resilience of all workloads on AWS.</w:t>
      </w:r>
    </w:p>
    <w:p>
      <w:pPr>
        <w:pStyle w:val="Heading2"/>
        <w:spacing w:before="240" w:after="120"/>
        <w:ind w:left="0" w:firstLine="0"/>
      </w:pPr>
      <w:r>
        <w:t>8.1 Functional Validation</w:t>
      </w:r>
    </w:p>
    <w:p>
      <w:pPr>
        <w:spacing w:after="80"/>
        <w:ind w:left="720" w:hanging="360"/>
      </w:pPr>
      <w:r>
        <w:rPr>
          <w:rFonts w:ascii="Calibri" w:hAnsi="Calibri"/>
          <w:sz w:val="22"/>
        </w:rPr>
        <w:t xml:space="preserve">• </w:t>
      </w:r>
      <w:r>
        <w:rPr>
          <w:rFonts w:ascii="Calibri" w:hAnsi="Calibri"/>
          <w:sz w:val="22"/>
        </w:rPr>
        <w:t>End-to-end application validation via UI, API, or batch-level testing</w:t>
      </w:r>
    </w:p>
    <w:p>
      <w:pPr>
        <w:spacing w:after="80"/>
        <w:ind w:left="720" w:hanging="360"/>
      </w:pPr>
      <w:r>
        <w:rPr>
          <w:rFonts w:ascii="Calibri" w:hAnsi="Calibri"/>
          <w:sz w:val="22"/>
        </w:rPr>
        <w:t xml:space="preserve">• </w:t>
      </w:r>
      <w:r>
        <w:rPr>
          <w:rFonts w:ascii="Calibri" w:hAnsi="Calibri"/>
          <w:sz w:val="22"/>
        </w:rPr>
        <w:t>Validation against business workflows and user stories</w:t>
      </w:r>
    </w:p>
    <w:p>
      <w:pPr>
        <w:pStyle w:val="Heading2"/>
        <w:spacing w:before="240" w:after="120"/>
        <w:ind w:left="0" w:firstLine="0"/>
      </w:pPr>
      <w:r>
        <w:t>8.2 Performance &amp; Load Testing</w:t>
      </w:r>
    </w:p>
    <w:p>
      <w:pPr>
        <w:spacing w:after="80"/>
        <w:ind w:left="720" w:hanging="360"/>
      </w:pPr>
      <w:r>
        <w:rPr>
          <w:rFonts w:ascii="Calibri" w:hAnsi="Calibri"/>
          <w:sz w:val="22"/>
        </w:rPr>
        <w:t xml:space="preserve">• </w:t>
      </w:r>
      <w:r>
        <w:rPr>
          <w:rFonts w:ascii="Calibri" w:hAnsi="Calibri"/>
          <w:sz w:val="22"/>
        </w:rPr>
        <w:t>Benchmark comparison between on-prem and AWS target states</w:t>
      </w:r>
    </w:p>
    <w:p>
      <w:pPr>
        <w:spacing w:after="80"/>
        <w:ind w:left="720" w:hanging="360"/>
      </w:pPr>
      <w:r>
        <w:rPr>
          <w:rFonts w:ascii="Calibri" w:hAnsi="Calibri"/>
          <w:sz w:val="22"/>
        </w:rPr>
        <w:t xml:space="preserve">• </w:t>
      </w:r>
      <w:r>
        <w:rPr>
          <w:rFonts w:ascii="Calibri" w:hAnsi="Calibri"/>
          <w:sz w:val="22"/>
        </w:rPr>
        <w:t>Stress testing using tools like JMeter or Locust</w:t>
      </w:r>
    </w:p>
    <w:p>
      <w:pPr>
        <w:pStyle w:val="Heading2"/>
        <w:spacing w:before="240" w:after="120"/>
        <w:ind w:left="0" w:firstLine="0"/>
      </w:pPr>
      <w:r>
        <w:t>8.3 Security Testing</w:t>
      </w:r>
    </w:p>
    <w:p>
      <w:pPr>
        <w:spacing w:after="80"/>
        <w:ind w:left="720" w:hanging="360"/>
      </w:pPr>
      <w:r>
        <w:rPr>
          <w:rFonts w:ascii="Calibri" w:hAnsi="Calibri"/>
          <w:sz w:val="22"/>
        </w:rPr>
        <w:t xml:space="preserve">• </w:t>
      </w:r>
      <w:r>
        <w:rPr>
          <w:rFonts w:ascii="Calibri" w:hAnsi="Calibri"/>
          <w:sz w:val="22"/>
        </w:rPr>
        <w:t>Validation of IAM policies, encryption, and compliance requirements</w:t>
      </w:r>
    </w:p>
    <w:p>
      <w:pPr>
        <w:spacing w:after="80"/>
        <w:ind w:left="720" w:hanging="360"/>
      </w:pPr>
      <w:r>
        <w:rPr>
          <w:rFonts w:ascii="Calibri" w:hAnsi="Calibri"/>
          <w:sz w:val="22"/>
        </w:rPr>
        <w:t xml:space="preserve">• </w:t>
      </w:r>
      <w:r>
        <w:rPr>
          <w:rFonts w:ascii="Calibri" w:hAnsi="Calibri"/>
          <w:sz w:val="22"/>
        </w:rPr>
        <w:t>Optional penetration testing and vulnerability scanning</w:t>
      </w:r>
    </w:p>
    <w:p>
      <w:pPr>
        <w:pStyle w:val="Heading2"/>
        <w:spacing w:before="240" w:after="120"/>
        <w:ind w:left="0" w:firstLine="0"/>
      </w:pPr>
      <w:r>
        <w:t>8.4 Disaster Recovery &amp; Resilience Tests</w:t>
      </w:r>
    </w:p>
    <w:p>
      <w:pPr>
        <w:spacing w:after="80"/>
        <w:ind w:left="720" w:hanging="360"/>
      </w:pPr>
      <w:r>
        <w:rPr>
          <w:rFonts w:ascii="Calibri" w:hAnsi="Calibri"/>
          <w:sz w:val="22"/>
        </w:rPr>
        <w:t xml:space="preserve">• </w:t>
      </w:r>
      <w:r>
        <w:rPr>
          <w:rFonts w:ascii="Calibri" w:hAnsi="Calibri"/>
          <w:sz w:val="22"/>
        </w:rPr>
        <w:t>Failover testing (Multi-AZ, Multi-region if applicable)</w:t>
      </w:r>
    </w:p>
    <w:p>
      <w:pPr>
        <w:spacing w:after="80"/>
        <w:ind w:left="720" w:hanging="360"/>
      </w:pPr>
      <w:r>
        <w:rPr>
          <w:rFonts w:ascii="Calibri" w:hAnsi="Calibri"/>
          <w:sz w:val="22"/>
        </w:rPr>
        <w:t xml:space="preserve">• </w:t>
      </w:r>
      <w:r>
        <w:rPr>
          <w:rFonts w:ascii="Calibri" w:hAnsi="Calibri"/>
          <w:sz w:val="22"/>
        </w:rPr>
        <w:t>RTO/RPO validation</w:t>
      </w:r>
    </w:p>
    <w:p>
      <w:pPr>
        <w:pStyle w:val="Heading2"/>
        <w:spacing w:before="240" w:after="120"/>
        <w:ind w:left="0" w:firstLine="0"/>
      </w:pPr>
      <w:r>
        <w:t>8.5 User Acceptance Testing (UAT)</w:t>
      </w:r>
    </w:p>
    <w:p>
      <w:pPr>
        <w:spacing w:after="80"/>
        <w:ind w:left="720" w:hanging="360"/>
      </w:pPr>
      <w:r>
        <w:rPr>
          <w:rFonts w:ascii="Calibri" w:hAnsi="Calibri"/>
          <w:sz w:val="22"/>
        </w:rPr>
        <w:t xml:space="preserve">• </w:t>
      </w:r>
      <w:r>
        <w:rPr>
          <w:rFonts w:ascii="Calibri" w:hAnsi="Calibri"/>
          <w:sz w:val="22"/>
        </w:rPr>
        <w:t>Performed in coordination with Client stakeholders</w:t>
      </w:r>
    </w:p>
    <w:p>
      <w:pPr>
        <w:spacing w:after="80"/>
        <w:ind w:left="720" w:hanging="360"/>
      </w:pPr>
      <w:r>
        <w:rPr>
          <w:rFonts w:ascii="Calibri" w:hAnsi="Calibri"/>
          <w:sz w:val="22"/>
        </w:rPr>
        <w:t xml:space="preserve">• </w:t>
      </w:r>
      <w:r>
        <w:rPr>
          <w:rFonts w:ascii="Calibri" w:hAnsi="Calibri"/>
          <w:sz w:val="22"/>
        </w:rPr>
        <w:t>Test data and environment setup managed by Vendor</w:t>
      </w:r>
    </w:p>
    <w:p>
      <w:pPr>
        <w:pStyle w:val="Heading2"/>
        <w:spacing w:before="240" w:after="120"/>
        <w:ind w:left="0" w:firstLine="0"/>
      </w:pPr>
      <w:r>
        <w:t>8.6 Go-Live Readiness</w:t>
      </w:r>
    </w:p>
    <w:p>
      <w:pPr>
        <w:spacing w:after="160"/>
      </w:pPr>
      <w:r>
        <w:rPr>
          <w:rFonts w:ascii="Calibri" w:hAnsi="Calibri"/>
          <w:sz w:val="22"/>
        </w:rPr>
        <w:t>A Go-Live Readiness Checklist will be delivered including:</w:t>
      </w:r>
    </w:p>
    <w:p>
      <w:pPr>
        <w:spacing w:after="80"/>
        <w:ind w:left="720" w:hanging="360"/>
      </w:pPr>
      <w:r>
        <w:rPr>
          <w:rFonts w:ascii="Calibri" w:hAnsi="Calibri"/>
          <w:sz w:val="22"/>
        </w:rPr>
        <w:t xml:space="preserve">• </w:t>
      </w:r>
      <w:r>
        <w:rPr>
          <w:rFonts w:ascii="Calibri" w:hAnsi="Calibri"/>
          <w:sz w:val="22"/>
        </w:rPr>
        <w:t>Security and compliance sign-offs</w:t>
      </w:r>
    </w:p>
    <w:p>
      <w:pPr>
        <w:spacing w:after="80"/>
        <w:ind w:left="720" w:hanging="360"/>
      </w:pPr>
      <w:r>
        <w:rPr>
          <w:rFonts w:ascii="Calibri" w:hAnsi="Calibri"/>
          <w:sz w:val="22"/>
        </w:rPr>
        <w:t xml:space="preserve">• </w:t>
      </w:r>
      <w:r>
        <w:rPr>
          <w:rFonts w:ascii="Calibri" w:hAnsi="Calibri"/>
          <w:sz w:val="22"/>
        </w:rPr>
        <w:t>Functional benchmark validation</w:t>
      </w:r>
    </w:p>
    <w:p>
      <w:pPr>
        <w:spacing w:after="80"/>
        <w:ind w:left="720" w:hanging="360"/>
      </w:pPr>
      <w:r>
        <w:rPr>
          <w:rFonts w:ascii="Calibri" w:hAnsi="Calibri"/>
          <w:sz w:val="22"/>
        </w:rPr>
        <w:t xml:space="preserve">• </w:t>
      </w:r>
      <w:r>
        <w:rPr>
          <w:rFonts w:ascii="Calibri" w:hAnsi="Calibri"/>
          <w:sz w:val="22"/>
        </w:rPr>
        <w:t>Data integrity checks</w:t>
      </w:r>
    </w:p>
    <w:p>
      <w:pPr>
        <w:spacing w:after="80"/>
        <w:ind w:left="720" w:hanging="360"/>
      </w:pPr>
      <w:r>
        <w:rPr>
          <w:rFonts w:ascii="Calibri" w:hAnsi="Calibri"/>
          <w:sz w:val="22"/>
        </w:rPr>
        <w:t xml:space="preserve">• </w:t>
      </w:r>
      <w:r>
        <w:rPr>
          <w:rFonts w:ascii="Calibri" w:hAnsi="Calibri"/>
          <w:sz w:val="22"/>
        </w:rPr>
        <w:t>Issue log closure</w:t>
      </w:r>
    </w:p>
    <w:p>
      <w:pPr>
        <w:pStyle w:val="Heading2"/>
        <w:spacing w:before="240" w:after="120"/>
        <w:ind w:left="0" w:firstLine="0"/>
      </w:pPr>
      <w:r>
        <w:t>8.7 Cutover Plan</w:t>
      </w:r>
    </w:p>
    <w:p>
      <w:pPr>
        <w:pStyle w:val="Heading2"/>
        <w:spacing w:before="240" w:after="120"/>
        <w:ind w:left="0" w:firstLine="0"/>
      </w:pPr>
      <w:r>
        <w:t>8.8 Cutover Checklist</w:t>
      </w:r>
    </w:p>
    <w:p>
      <w:pPr>
        <w:spacing w:after="80"/>
        <w:ind w:left="720" w:hanging="360"/>
      </w:pPr>
      <w:r>
        <w:rPr>
          <w:rFonts w:ascii="Calibri" w:hAnsi="Calibri"/>
          <w:sz w:val="22"/>
        </w:rPr>
        <w:t xml:space="preserve">• </w:t>
      </w:r>
      <w:r>
        <w:rPr>
          <w:rFonts w:ascii="Calibri" w:hAnsi="Calibri"/>
          <w:sz w:val="22"/>
        </w:rPr>
        <w:t>DNS switch sequencing</w:t>
      </w:r>
    </w:p>
    <w:p>
      <w:pPr>
        <w:spacing w:after="80"/>
        <w:ind w:left="720" w:hanging="360"/>
      </w:pPr>
      <w:r>
        <w:rPr>
          <w:rFonts w:ascii="Calibri" w:hAnsi="Calibri"/>
          <w:sz w:val="22"/>
        </w:rPr>
        <w:t xml:space="preserve">• </w:t>
      </w:r>
      <w:r>
        <w:rPr>
          <w:rFonts w:ascii="Calibri" w:hAnsi="Calibri"/>
          <w:sz w:val="22"/>
        </w:rPr>
        <w:t>Disable legacy database writes</w:t>
      </w:r>
    </w:p>
    <w:p>
      <w:pPr>
        <w:spacing w:after="80"/>
        <w:ind w:left="720" w:hanging="360"/>
      </w:pPr>
      <w:r>
        <w:rPr>
          <w:rFonts w:ascii="Calibri" w:hAnsi="Calibri"/>
          <w:sz w:val="22"/>
        </w:rPr>
        <w:t xml:space="preserve">• </w:t>
      </w:r>
      <w:r>
        <w:rPr>
          <w:rFonts w:ascii="Calibri" w:hAnsi="Calibri"/>
          <w:sz w:val="22"/>
        </w:rPr>
        <w:t>Application and endpoint reconfiguration</w:t>
      </w:r>
    </w:p>
    <w:p>
      <w:pPr>
        <w:spacing w:after="80"/>
        <w:ind w:left="720" w:hanging="360"/>
      </w:pPr>
      <w:r>
        <w:rPr>
          <w:rFonts w:ascii="Calibri" w:hAnsi="Calibri"/>
          <w:sz w:val="22"/>
        </w:rPr>
        <w:t xml:space="preserve">• </w:t>
      </w:r>
      <w:r>
        <w:rPr>
          <w:rFonts w:ascii="Calibri" w:hAnsi="Calibri"/>
          <w:sz w:val="22"/>
        </w:rPr>
        <w:t>Health check monitoring</w:t>
      </w:r>
    </w:p>
    <w:p>
      <w:pPr>
        <w:pStyle w:val="Heading2"/>
        <w:spacing w:before="240" w:after="120"/>
        <w:ind w:left="0" w:firstLine="0"/>
      </w:pPr>
      <w:r>
        <w:t>8.9 Rollback Strategy</w:t>
      </w:r>
    </w:p>
    <w:p>
      <w:pPr>
        <w:spacing w:after="80"/>
        <w:ind w:left="720" w:hanging="360"/>
      </w:pPr>
      <w:r>
        <w:rPr>
          <w:rFonts w:ascii="Calibri" w:hAnsi="Calibri"/>
          <w:sz w:val="22"/>
        </w:rPr>
        <w:t xml:space="preserve">• </w:t>
      </w:r>
      <w:r>
        <w:rPr>
          <w:rFonts w:ascii="Calibri" w:hAnsi="Calibri"/>
          <w:sz w:val="22"/>
        </w:rPr>
        <w:t>Reverse DNS</w:t>
      </w:r>
    </w:p>
    <w:p>
      <w:pPr>
        <w:spacing w:after="80"/>
        <w:ind w:left="720" w:hanging="360"/>
      </w:pPr>
      <w:r>
        <w:rPr>
          <w:rFonts w:ascii="Calibri" w:hAnsi="Calibri"/>
          <w:sz w:val="22"/>
        </w:rPr>
        <w:t xml:space="preserve">• </w:t>
      </w:r>
      <w:r>
        <w:rPr>
          <w:rFonts w:ascii="Calibri" w:hAnsi="Calibri"/>
          <w:sz w:val="22"/>
        </w:rPr>
        <w:t>Re-enable legacy data writes</w:t>
      </w:r>
    </w:p>
    <w:p>
      <w:pPr>
        <w:spacing w:after="80"/>
        <w:ind w:left="720" w:hanging="360"/>
      </w:pPr>
      <w:r>
        <w:rPr>
          <w:rFonts w:ascii="Calibri" w:hAnsi="Calibri"/>
          <w:sz w:val="22"/>
        </w:rPr>
        <w:t xml:space="preserve">• </w:t>
      </w:r>
      <w:r>
        <w:rPr>
          <w:rFonts w:ascii="Calibri" w:hAnsi="Calibri"/>
          <w:sz w:val="22"/>
        </w:rPr>
        <w:t>Rollback to earlier snapshot or AMI</w:t>
      </w:r>
    </w:p>
    <w:p>
      <w:pPr>
        <w:pStyle w:val="Heading1"/>
        <w:spacing w:before="160" w:after="120"/>
        <w:ind w:left="0" w:firstLine="0"/>
      </w:pPr>
      <w:r>
        <w:t>9 Handover &amp; Support</w:t>
      </w:r>
    </w:p>
    <w:p>
      <w:pPr>
        <w:pStyle w:val="Heading2"/>
        <w:spacing w:before="240" w:after="120"/>
        <w:ind w:left="0" w:firstLine="0"/>
      </w:pPr>
      <w:r>
        <w:t>9.1 Handover Artifacts</w:t>
      </w:r>
    </w:p>
    <w:p>
      <w:pPr>
        <w:spacing w:after="80"/>
        <w:ind w:left="720" w:hanging="360"/>
      </w:pPr>
      <w:r>
        <w:rPr>
          <w:rFonts w:ascii="Calibri" w:hAnsi="Calibri"/>
          <w:sz w:val="22"/>
        </w:rPr>
        <w:t xml:space="preserve">• </w:t>
      </w:r>
      <w:r>
        <w:rPr>
          <w:rFonts w:ascii="Calibri" w:hAnsi="Calibri"/>
          <w:sz w:val="22"/>
        </w:rPr>
        <w:t>As-Built documentation</w:t>
      </w:r>
    </w:p>
    <w:p>
      <w:pPr>
        <w:spacing w:after="80"/>
        <w:ind w:left="720" w:hanging="360"/>
      </w:pPr>
      <w:r>
        <w:rPr>
          <w:rFonts w:ascii="Calibri" w:hAnsi="Calibri"/>
          <w:sz w:val="22"/>
        </w:rPr>
        <w:t xml:space="preserve">• </w:t>
      </w:r>
      <w:r>
        <w:rPr>
          <w:rFonts w:ascii="Calibri" w:hAnsi="Calibri"/>
          <w:sz w:val="22"/>
        </w:rPr>
        <w:t>Cloud cost estimation &amp; optimization recommendations</w:t>
      </w:r>
    </w:p>
    <w:p>
      <w:pPr>
        <w:spacing w:after="80"/>
        <w:ind w:left="720" w:hanging="360"/>
      </w:pPr>
      <w:r>
        <w:rPr>
          <w:rFonts w:ascii="Calibri" w:hAnsi="Calibri"/>
          <w:sz w:val="22"/>
        </w:rPr>
        <w:t xml:space="preserve">• </w:t>
      </w:r>
      <w:r>
        <w:rPr>
          <w:rFonts w:ascii="Calibri" w:hAnsi="Calibri"/>
          <w:sz w:val="22"/>
        </w:rPr>
        <w:t>IAM and account governance model</w:t>
      </w:r>
    </w:p>
    <w:p>
      <w:pPr>
        <w:spacing w:after="80"/>
        <w:ind w:left="720" w:hanging="360"/>
      </w:pPr>
      <w:r>
        <w:rPr>
          <w:rFonts w:ascii="Calibri" w:hAnsi="Calibri"/>
          <w:sz w:val="22"/>
        </w:rPr>
        <w:t xml:space="preserve">• </w:t>
      </w:r>
      <w:r>
        <w:rPr>
          <w:rFonts w:ascii="Calibri" w:hAnsi="Calibri"/>
          <w:sz w:val="22"/>
        </w:rPr>
        <w:t>Monitoring &amp; alert setup reference</w:t>
      </w:r>
    </w:p>
    <w:p>
      <w:pPr>
        <w:pStyle w:val="Heading2"/>
        <w:spacing w:before="240" w:after="120"/>
        <w:ind w:left="0" w:firstLine="0"/>
      </w:pPr>
      <w:r>
        <w:t>9.2 Knowledge Transfer</w:t>
      </w:r>
    </w:p>
    <w:p>
      <w:pPr>
        <w:spacing w:after="80"/>
        <w:ind w:left="720" w:hanging="360"/>
      </w:pPr>
      <w:r>
        <w:rPr>
          <w:rFonts w:ascii="Calibri" w:hAnsi="Calibri"/>
          <w:sz w:val="22"/>
        </w:rPr>
        <w:t xml:space="preserve">• </w:t>
      </w:r>
      <w:r>
        <w:rPr>
          <w:rFonts w:ascii="Calibri" w:hAnsi="Calibri"/>
          <w:sz w:val="22"/>
        </w:rPr>
        <w:t>[X] live sessions</w:t>
      </w:r>
    </w:p>
    <w:p>
      <w:pPr>
        <w:spacing w:after="80"/>
        <w:ind w:left="720" w:hanging="360"/>
      </w:pPr>
      <w:r>
        <w:rPr>
          <w:rFonts w:ascii="Calibri" w:hAnsi="Calibri"/>
          <w:sz w:val="22"/>
        </w:rPr>
        <w:t xml:space="preserve">• </w:t>
      </w:r>
      <w:r>
        <w:rPr>
          <w:rFonts w:ascii="Calibri" w:hAnsi="Calibri"/>
          <w:sz w:val="22"/>
        </w:rPr>
        <w:t>Recorded materials hosted in shared portal</w:t>
      </w:r>
    </w:p>
    <w:p>
      <w:pPr>
        <w:pStyle w:val="Heading2"/>
        <w:spacing w:before="240" w:after="120"/>
        <w:ind w:left="0" w:firstLine="0"/>
      </w:pPr>
      <w:r>
        <w:t>9.3 Assumptions</w:t>
      </w:r>
    </w:p>
    <w:p>
      <w:pPr>
        <w:pStyle w:val="Heading3"/>
        <w:spacing w:before="160" w:after="120"/>
        <w:ind w:left="0" w:firstLine="0"/>
      </w:pPr>
      <w:r>
        <w:t>9.3.1 General Assumptions</w:t>
      </w:r>
    </w:p>
    <w:p>
      <w:pPr>
        <w:spacing w:after="80"/>
        <w:ind w:left="720" w:hanging="360"/>
      </w:pPr>
      <w:r>
        <w:rPr>
          <w:rFonts w:ascii="Calibri" w:hAnsi="Calibri"/>
          <w:sz w:val="22"/>
        </w:rPr>
        <w:t xml:space="preserve">• </w:t>
      </w:r>
      <w:r>
        <w:rPr>
          <w:rFonts w:ascii="Calibri" w:hAnsi="Calibri"/>
          <w:sz w:val="22"/>
        </w:rPr>
        <w:t>Client provides timely access to applications, SMEs, and target systems.</w:t>
      </w:r>
    </w:p>
    <w:p>
      <w:pPr>
        <w:spacing w:after="80"/>
        <w:ind w:left="720" w:hanging="360"/>
      </w:pPr>
      <w:r>
        <w:rPr>
          <w:rFonts w:ascii="Calibri" w:hAnsi="Calibri"/>
          <w:sz w:val="22"/>
        </w:rPr>
        <w:t xml:space="preserve">• </w:t>
      </w:r>
      <w:r>
        <w:rPr>
          <w:rFonts w:ascii="Calibri" w:hAnsi="Calibri"/>
          <w:sz w:val="22"/>
        </w:rPr>
        <w:t>IAM roles are provisioned with appropriate permissions before migration waves start.</w:t>
      </w:r>
    </w:p>
    <w:p>
      <w:pPr>
        <w:spacing w:after="80"/>
        <w:ind w:left="720" w:hanging="360"/>
      </w:pPr>
      <w:r>
        <w:rPr>
          <w:rFonts w:ascii="Calibri" w:hAnsi="Calibri"/>
          <w:sz w:val="22"/>
        </w:rPr>
        <w:t xml:space="preserve">• </w:t>
      </w:r>
      <w:r>
        <w:rPr>
          <w:rFonts w:ascii="Calibri" w:hAnsi="Calibri"/>
          <w:sz w:val="22"/>
        </w:rPr>
        <w:t>On-prem network connectivity will be handled via DX or VPN.</w:t>
      </w:r>
    </w:p>
    <w:p>
      <w:pPr>
        <w:spacing w:after="80"/>
        <w:ind w:left="720" w:hanging="360"/>
      </w:pPr>
      <w:r>
        <w:rPr>
          <w:rFonts w:ascii="Calibri" w:hAnsi="Calibri"/>
          <w:sz w:val="22"/>
        </w:rPr>
        <w:t xml:space="preserve">• </w:t>
      </w:r>
      <w:r>
        <w:rPr>
          <w:rFonts w:ascii="Calibri" w:hAnsi="Calibri"/>
          <w:sz w:val="22"/>
        </w:rPr>
        <w:t>All required AWS accounts are permitted for project use.</w:t>
      </w:r>
    </w:p>
    <w:p>
      <w:pPr>
        <w:pStyle w:val="Heading2"/>
        <w:spacing w:before="240" w:after="120"/>
        <w:ind w:left="0" w:firstLine="0"/>
      </w:pPr>
      <w:r>
        <w:t>9.4 Dependencies</w:t>
      </w:r>
    </w:p>
    <w:p>
      <w:pPr>
        <w:pStyle w:val="Heading2"/>
        <w:spacing w:before="240" w:after="120"/>
        <w:ind w:left="0" w:firstLine="0"/>
      </w:pPr>
      <w:r>
        <w:t>9.5 Project Dependencies</w:t>
      </w:r>
    </w:p>
    <w:p>
      <w:pPr>
        <w:spacing w:after="80"/>
        <w:ind w:left="720" w:hanging="360"/>
      </w:pPr>
      <w:r>
        <w:rPr>
          <w:rFonts w:ascii="Calibri" w:hAnsi="Calibri"/>
          <w:sz w:val="22"/>
        </w:rPr>
        <w:t xml:space="preserve">• </w:t>
      </w:r>
      <w:r>
        <w:rPr>
          <w:rFonts w:ascii="Calibri" w:hAnsi="Calibri"/>
          <w:sz w:val="22"/>
        </w:rPr>
        <w:t>Approval for AWS Organizations setup</w:t>
      </w:r>
    </w:p>
    <w:p>
      <w:pPr>
        <w:spacing w:after="80"/>
        <w:ind w:left="720" w:hanging="360"/>
      </w:pPr>
      <w:r>
        <w:rPr>
          <w:rFonts w:ascii="Calibri" w:hAnsi="Calibri"/>
          <w:sz w:val="22"/>
        </w:rPr>
        <w:t xml:space="preserve">• </w:t>
      </w:r>
      <w:r>
        <w:rPr>
          <w:rFonts w:ascii="Calibri" w:hAnsi="Calibri"/>
          <w:sz w:val="22"/>
        </w:rPr>
        <w:t>Third-party application vendor support (if required for migration)</w:t>
      </w:r>
    </w:p>
    <w:p>
      <w:pPr>
        <w:spacing w:after="80"/>
        <w:ind w:left="720" w:hanging="360"/>
      </w:pPr>
      <w:r>
        <w:rPr>
          <w:rFonts w:ascii="Calibri" w:hAnsi="Calibri"/>
          <w:sz w:val="22"/>
        </w:rPr>
        <w:t xml:space="preserve">• </w:t>
      </w:r>
      <w:r>
        <w:rPr>
          <w:rFonts w:ascii="Calibri" w:hAnsi="Calibri"/>
          <w:sz w:val="22"/>
        </w:rPr>
        <w:t>DNS access and domain control during cutover</w:t>
      </w:r>
    </w:p>
    <w:p>
      <w:pPr>
        <w:spacing w:after="80"/>
        <w:ind w:left="720" w:hanging="360"/>
      </w:pPr>
      <w:r>
        <w:rPr>
          <w:rFonts w:ascii="Calibri" w:hAnsi="Calibri"/>
          <w:sz w:val="22"/>
        </w:rPr>
        <w:t xml:space="preserve">• </w:t>
      </w:r>
      <w:r>
        <w:rPr>
          <w:rFonts w:ascii="Calibri" w:hAnsi="Calibri"/>
          <w:sz w:val="22"/>
        </w:rPr>
        <w:t>Required firewall/NAT rules established prior to migration</w:t>
      </w:r>
    </w:p>
    <w:p>
      <w:pPr>
        <w:pStyle w:val="Heading2"/>
        <w:spacing w:before="240" w:after="120"/>
        <w:ind w:left="0" w:firstLine="0"/>
      </w:pPr>
      <w:r>
        <w:t>9.6 AWS Security, Compliance &amp; Governance</w:t>
      </w:r>
    </w:p>
    <w:p>
      <w:pPr>
        <w:spacing w:after="160"/>
      </w:pPr>
      <w:r>
        <w:rPr>
          <w:rFonts w:ascii="Calibri" w:hAnsi="Calibri"/>
          <w:sz w:val="22"/>
        </w:rPr>
        <w:t>The migration and target AWS environment will be architected and validated to meet the Client’s security, compliance, and governance requirements. Vendor will adhere to AWS's Shared Responsibility Model and industry-standard security frameworks during implementation.</w:t>
      </w:r>
    </w:p>
    <w:p>
      <w:pPr>
        <w:pStyle w:val="Heading3"/>
        <w:spacing w:before="160" w:after="120"/>
        <w:ind w:left="0" w:firstLine="0"/>
      </w:pPr>
      <w:r>
        <w:t>9.6.1 Identity &amp; Access Management</w:t>
      </w:r>
    </w:p>
    <w:p>
      <w:pPr>
        <w:spacing w:after="80"/>
        <w:ind w:left="720" w:hanging="360"/>
      </w:pPr>
      <w:r>
        <w:rPr>
          <w:rFonts w:ascii="Calibri" w:hAnsi="Calibri"/>
          <w:sz w:val="22"/>
        </w:rPr>
        <w:t xml:space="preserve">• </w:t>
      </w:r>
      <w:r>
        <w:rPr>
          <w:rFonts w:ascii="Calibri" w:hAnsi="Calibri"/>
          <w:sz w:val="22"/>
        </w:rPr>
        <w:t>IAM roles designed using least-privilege access</w:t>
      </w:r>
    </w:p>
    <w:p>
      <w:pPr>
        <w:spacing w:after="80"/>
        <w:ind w:left="720" w:hanging="360"/>
      </w:pPr>
      <w:r>
        <w:rPr>
          <w:rFonts w:ascii="Calibri" w:hAnsi="Calibri"/>
          <w:sz w:val="22"/>
        </w:rPr>
        <w:t xml:space="preserve">• </w:t>
      </w:r>
      <w:r>
        <w:rPr>
          <w:rFonts w:ascii="Calibri" w:hAnsi="Calibri"/>
          <w:sz w:val="22"/>
        </w:rPr>
        <w:t>Role-based access control (RBAC) aligned with Client’s internal teams</w:t>
      </w:r>
    </w:p>
    <w:p>
      <w:pPr>
        <w:spacing w:after="80"/>
        <w:ind w:left="720" w:hanging="360"/>
      </w:pPr>
      <w:r>
        <w:rPr>
          <w:rFonts w:ascii="Calibri" w:hAnsi="Calibri"/>
          <w:sz w:val="22"/>
        </w:rPr>
        <w:t xml:space="preserve">• </w:t>
      </w:r>
      <w:r>
        <w:rPr>
          <w:rFonts w:ascii="Calibri" w:hAnsi="Calibri"/>
          <w:sz w:val="22"/>
        </w:rPr>
        <w:t>Optional identity federation integration (e.g. Azure AD, Okta)</w:t>
      </w:r>
    </w:p>
    <w:p>
      <w:pPr>
        <w:pStyle w:val="Heading3"/>
        <w:spacing w:before="160" w:after="120"/>
        <w:ind w:left="0" w:firstLine="0"/>
      </w:pPr>
      <w:r>
        <w:t>9.6.2 Monitoring &amp; Threat Detection</w:t>
      </w:r>
    </w:p>
    <w:p>
      <w:pPr>
        <w:spacing w:after="80"/>
        <w:ind w:left="720" w:hanging="360"/>
      </w:pPr>
      <w:r>
        <w:rPr>
          <w:rFonts w:ascii="Calibri" w:hAnsi="Calibri"/>
          <w:sz w:val="22"/>
        </w:rPr>
        <w:t xml:space="preserve">• </w:t>
      </w:r>
      <w:r>
        <w:rPr>
          <w:rFonts w:ascii="Calibri" w:hAnsi="Calibri"/>
          <w:sz w:val="22"/>
        </w:rPr>
        <w:t>GuardDuty enabled across accounts for real-time threat detection</w:t>
      </w:r>
    </w:p>
    <w:p>
      <w:pPr>
        <w:spacing w:after="80"/>
        <w:ind w:left="720" w:hanging="360"/>
      </w:pPr>
      <w:r>
        <w:rPr>
          <w:rFonts w:ascii="Calibri" w:hAnsi="Calibri"/>
          <w:sz w:val="22"/>
        </w:rPr>
        <w:t xml:space="preserve">• </w:t>
      </w:r>
      <w:r>
        <w:rPr>
          <w:rFonts w:ascii="Calibri" w:hAnsi="Calibri"/>
          <w:sz w:val="22"/>
        </w:rPr>
        <w:t>AWS Config and CloudTrail enabled for audit logging and change detection</w:t>
      </w:r>
    </w:p>
    <w:p>
      <w:pPr>
        <w:spacing w:after="80"/>
        <w:ind w:left="720" w:hanging="360"/>
      </w:pPr>
      <w:r>
        <w:rPr>
          <w:rFonts w:ascii="Calibri" w:hAnsi="Calibri"/>
          <w:sz w:val="22"/>
        </w:rPr>
        <w:t xml:space="preserve">• </w:t>
      </w:r>
      <w:r>
        <w:rPr>
          <w:rFonts w:ascii="Calibri" w:hAnsi="Calibri"/>
          <w:sz w:val="22"/>
        </w:rPr>
        <w:t>Optional integration with SIEM tools like Splunk, Datadog, or ELK</w:t>
      </w:r>
    </w:p>
    <w:p>
      <w:pPr>
        <w:pStyle w:val="Heading3"/>
        <w:spacing w:before="160" w:after="120"/>
        <w:ind w:left="0" w:firstLine="0"/>
      </w:pPr>
      <w:r>
        <w:t>9.6.3 Compliance &amp; Auditing</w:t>
      </w:r>
    </w:p>
    <w:p>
      <w:pPr>
        <w:spacing w:after="80"/>
        <w:ind w:left="720" w:hanging="360"/>
      </w:pPr>
      <w:r>
        <w:rPr>
          <w:rFonts w:ascii="Calibri" w:hAnsi="Calibri"/>
          <w:sz w:val="22"/>
        </w:rPr>
        <w:t xml:space="preserve">• </w:t>
      </w:r>
      <w:r>
        <w:rPr>
          <w:rFonts w:ascii="Calibri" w:hAnsi="Calibri"/>
          <w:sz w:val="22"/>
        </w:rPr>
        <w:t>Policies configured for adherence to standards such as SOC2, ISO27001, HIPAA, etc.</w:t>
      </w:r>
    </w:p>
    <w:p>
      <w:pPr>
        <w:spacing w:after="80"/>
        <w:ind w:left="720" w:hanging="360"/>
      </w:pPr>
      <w:r>
        <w:rPr>
          <w:rFonts w:ascii="Calibri" w:hAnsi="Calibri"/>
          <w:sz w:val="22"/>
        </w:rPr>
        <w:t xml:space="preserve">• </w:t>
      </w:r>
      <w:r>
        <w:rPr>
          <w:rFonts w:ascii="Calibri" w:hAnsi="Calibri"/>
          <w:sz w:val="22"/>
        </w:rPr>
        <w:t>Continuous assessment using Security Hub and Trusted Advisor</w:t>
      </w:r>
    </w:p>
    <w:p>
      <w:pPr>
        <w:spacing w:after="80"/>
        <w:ind w:left="720" w:hanging="360"/>
      </w:pPr>
      <w:r>
        <w:rPr>
          <w:rFonts w:ascii="Calibri" w:hAnsi="Calibri"/>
          <w:sz w:val="22"/>
        </w:rPr>
        <w:t xml:space="preserve">• </w:t>
      </w:r>
      <w:r>
        <w:rPr>
          <w:rFonts w:ascii="Calibri" w:hAnsi="Calibri"/>
          <w:sz w:val="22"/>
        </w:rPr>
        <w:t>Optional support for GovCloud for regulatory compliance</w:t>
      </w:r>
    </w:p>
    <w:p>
      <w:pPr>
        <w:pStyle w:val="Heading3"/>
        <w:spacing w:before="160" w:after="120"/>
        <w:ind w:left="0" w:firstLine="0"/>
      </w:pPr>
      <w:r>
        <w:t>9.6.4 Encryption &amp; Key Management</w:t>
      </w:r>
    </w:p>
    <w:p>
      <w:pPr>
        <w:spacing w:after="80"/>
        <w:ind w:left="720" w:hanging="360"/>
      </w:pPr>
      <w:r>
        <w:rPr>
          <w:rFonts w:ascii="Calibri" w:hAnsi="Calibri"/>
          <w:sz w:val="22"/>
        </w:rPr>
        <w:t xml:space="preserve">• </w:t>
      </w:r>
      <w:r>
        <w:rPr>
          <w:rFonts w:ascii="Calibri" w:hAnsi="Calibri"/>
          <w:sz w:val="22"/>
        </w:rPr>
        <w:t>KMS-managed keys for in-transit and at-rest encryption</w:t>
      </w:r>
    </w:p>
    <w:p>
      <w:pPr>
        <w:spacing w:after="80"/>
        <w:ind w:left="720" w:hanging="360"/>
      </w:pPr>
      <w:r>
        <w:rPr>
          <w:rFonts w:ascii="Calibri" w:hAnsi="Calibri"/>
          <w:sz w:val="22"/>
        </w:rPr>
        <w:t xml:space="preserve">• </w:t>
      </w:r>
      <w:r>
        <w:rPr>
          <w:rFonts w:ascii="Calibri" w:hAnsi="Calibri"/>
          <w:sz w:val="22"/>
        </w:rPr>
        <w:t>Optional BYOK or CloudHSM deployment</w:t>
      </w:r>
    </w:p>
    <w:p>
      <w:pPr>
        <w:spacing w:after="80"/>
        <w:ind w:left="720" w:hanging="360"/>
      </w:pPr>
      <w:r>
        <w:rPr>
          <w:rFonts w:ascii="Calibri" w:hAnsi="Calibri"/>
          <w:sz w:val="22"/>
        </w:rPr>
        <w:t xml:space="preserve">• </w:t>
      </w:r>
      <w:r>
        <w:rPr>
          <w:rFonts w:ascii="Calibri" w:hAnsi="Calibri"/>
          <w:sz w:val="22"/>
        </w:rPr>
        <w:t>TLS enforcement for all data channels</w:t>
      </w:r>
    </w:p>
    <w:p>
      <w:pPr>
        <w:pStyle w:val="Heading3"/>
        <w:spacing w:before="160" w:after="120"/>
        <w:ind w:left="0" w:firstLine="0"/>
      </w:pPr>
      <w:r>
        <w:t>9.6.5 Governance</w:t>
      </w:r>
    </w:p>
    <w:p>
      <w:pPr>
        <w:spacing w:after="80"/>
        <w:ind w:left="720" w:hanging="360"/>
      </w:pPr>
      <w:r>
        <w:rPr>
          <w:rFonts w:ascii="Calibri" w:hAnsi="Calibri"/>
          <w:sz w:val="22"/>
        </w:rPr>
        <w:t xml:space="preserve">• </w:t>
      </w:r>
      <w:r>
        <w:rPr>
          <w:rFonts w:ascii="Calibri" w:hAnsi="Calibri"/>
          <w:sz w:val="22"/>
        </w:rPr>
        <w:t>Use of Service Control Policies (SCPs) to enforce mandatory security posture</w:t>
      </w:r>
    </w:p>
    <w:p>
      <w:pPr>
        <w:spacing w:after="80"/>
        <w:ind w:left="720" w:hanging="360"/>
      </w:pPr>
      <w:r>
        <w:rPr>
          <w:rFonts w:ascii="Calibri" w:hAnsi="Calibri"/>
          <w:sz w:val="22"/>
        </w:rPr>
        <w:t xml:space="preserve">• </w:t>
      </w:r>
      <w:r>
        <w:rPr>
          <w:rFonts w:ascii="Calibri" w:hAnsi="Calibri"/>
          <w:sz w:val="22"/>
        </w:rPr>
        <w:t>AWS tagging strategy applied for cost allocation, ownership, and automation</w:t>
      </w:r>
    </w:p>
    <w:p>
      <w:pPr>
        <w:spacing w:after="80"/>
        <w:ind w:left="720" w:hanging="360"/>
      </w:pPr>
      <w:r>
        <w:rPr>
          <w:rFonts w:ascii="Calibri" w:hAnsi="Calibri"/>
          <w:sz w:val="22"/>
        </w:rPr>
        <w:t xml:space="preserve">• </w:t>
      </w:r>
      <w:r>
        <w:rPr>
          <w:rFonts w:ascii="Calibri" w:hAnsi="Calibri"/>
          <w:sz w:val="22"/>
        </w:rPr>
        <w:t>IaC policy enforcement using tools such as Conftest or AWS CodePipeline</w:t>
      </w:r>
    </w:p>
    <w:p>
      <w:pPr>
        <w:pStyle w:val="Heading1"/>
        <w:spacing w:before="160" w:after="120"/>
        <w:ind w:left="0" w:firstLine="0"/>
      </w:pPr>
      <w:r>
        <w:t>10 Investment Summary</w:t>
      </w:r>
    </w:p>
    <w:p>
      <w:pPr>
        <w:spacing w:after="160"/>
      </w:pPr>
      <w:r>
        <w:rPr>
          <w:rFonts w:ascii="Calibri" w:hAnsi="Calibri"/>
          <w:b/>
          <w:sz w:val="22"/>
        </w:rPr>
        <w:t>Small Scope Implementation:</w:t>
      </w:r>
      <w:r>
        <w:rPr>
          <w:rFonts w:ascii="Calibri" w:hAnsi="Calibri"/>
          <w:sz w:val="22"/>
        </w:rPr>
        <w:t xml:space="preserve"> This pricing reflects a lift-and-shift migration of 15-25 workloads. For larger migrations (50+ workloads) or refactoring/modernization, please request medium or large scope pricing.</w:t>
      </w:r>
    </w:p>
    <w:p>
      <w:pPr>
        <w:pStyle w:val="Heading2"/>
        <w:spacing w:before="240" w:after="120"/>
        <w:ind w:left="0" w:firstLine="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AWS/Partner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$125,150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($22,000)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$103,150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$103,150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$9,572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($8,117)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$1,455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$9,472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$9,472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$20,399</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 &amp; Subscriptions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$9,396</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$4,386</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$139,316</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($30,117)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$109,199</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$14,066</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$14,066</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$137,331</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Total Investment</w:t>
      </w:r>
    </w:p>
    <w:p>
      <w:pPr>
        <w:pStyle w:val="Heading2"/>
        <w:spacing w:before="240" w:after="120"/>
        <w:ind w:left="0" w:firstLine="0"/>
      </w:pPr>
      <w:r>
        <w:t>10.2 AWS Migration Acceleration Program (MAP) Credits</w:t>
      </w:r>
    </w:p>
    <w:p>
      <w:pPr>
        <w:spacing w:after="160"/>
      </w:pPr>
      <w:r>
        <w:rPr>
          <w:rFonts w:ascii="Calibri" w:hAnsi="Calibri"/>
          <w:b/>
          <w:sz w:val="22"/>
        </w:rPr>
        <w:t>Year 1 Credits Applied:</w:t>
      </w:r>
      <w:r>
        <w:rPr>
          <w:rFonts w:ascii="Calibri" w:hAnsi="Calibri"/>
          <w:sz w:val="22"/>
        </w:rPr>
        <w:t xml:space="preserve"> $30,117 (22% reduction)</w:t>
      </w:r>
    </w:p>
    <w:p>
      <w:pPr>
        <w:spacing w:after="80"/>
        <w:ind w:left="720" w:hanging="360"/>
      </w:pPr>
      <w:r>
        <w:rPr>
          <w:rFonts w:ascii="Calibri" w:hAnsi="Calibri"/>
          <w:sz w:val="22"/>
        </w:rPr>
        <w:t xml:space="preserve">• </w:t>
      </w:r>
      <w:r>
        <w:rPr>
          <w:rFonts w:ascii="Calibri" w:hAnsi="Calibri"/>
          <w:b/>
          <w:sz w:val="22"/>
        </w:rPr>
        <w:t>AWS MAP Assessment Credit:</w:t>
      </w:r>
      <w:r>
        <w:rPr>
          <w:rFonts w:ascii="Calibri" w:hAnsi="Calibri"/>
          <w:sz w:val="22"/>
        </w:rPr>
        <w:t xml:space="preserve"> $12,000 - 100% funding for migration discovery and application inventory</w:t>
      </w:r>
    </w:p>
    <w:p>
      <w:pPr>
        <w:spacing w:after="80"/>
        <w:ind w:left="720" w:hanging="360"/>
      </w:pPr>
      <w:r>
        <w:rPr>
          <w:rFonts w:ascii="Calibri" w:hAnsi="Calibri"/>
          <w:sz w:val="22"/>
        </w:rPr>
        <w:t xml:space="preserve">• </w:t>
      </w:r>
      <w:r>
        <w:rPr>
          <w:rFonts w:ascii="Calibri" w:hAnsi="Calibri"/>
          <w:b/>
          <w:sz w:val="22"/>
        </w:rPr>
        <w:t>AWS MAP Mobilize/Migrate Credit:</w:t>
      </w:r>
      <w:r>
        <w:rPr>
          <w:rFonts w:ascii="Calibri" w:hAnsi="Calibri"/>
          <w:sz w:val="22"/>
        </w:rPr>
        <w:t xml:space="preserve"> $10,000 - Partial funding for migration wave planning and execution</w:t>
      </w:r>
    </w:p>
    <w:p>
      <w:pPr>
        <w:spacing w:after="80"/>
        <w:ind w:left="720" w:hanging="360"/>
      </w:pPr>
      <w:r>
        <w:rPr>
          <w:rFonts w:ascii="Calibri" w:hAnsi="Calibri"/>
          <w:sz w:val="22"/>
        </w:rPr>
        <w:t xml:space="preserve">• </w:t>
      </w:r>
      <w:r>
        <w:rPr>
          <w:rFonts w:ascii="Calibri" w:hAnsi="Calibri"/>
          <w:b/>
          <w:sz w:val="22"/>
        </w:rPr>
        <w:t>AWS MAP Consumption Credit:</w:t>
      </w:r>
      <w:r>
        <w:rPr>
          <w:rFonts w:ascii="Calibri" w:hAnsi="Calibri"/>
          <w:sz w:val="22"/>
        </w:rPr>
        <w:t xml:space="preserve"> $8,117 - 35% of Year 1 cloud infrastructure costs</w:t>
      </w:r>
    </w:p>
    <w:p>
      <w:pPr>
        <w:spacing w:after="80"/>
        <w:ind w:left="720" w:hanging="360"/>
      </w:pPr>
      <w:r>
        <w:rPr>
          <w:rFonts w:ascii="Calibri" w:hAnsi="Calibri"/>
          <w:sz w:val="22"/>
        </w:rPr>
        <w:t xml:space="preserve">• </w:t>
      </w:r>
      <w:r>
        <w:rPr>
          <w:rFonts w:ascii="Calibri" w:hAnsi="Calibri"/>
          <w:sz w:val="22"/>
        </w:rPr>
        <w:t>Credits are real AWS promotional credits, applied automatically through AWS Migration Hub</w:t>
      </w:r>
    </w:p>
    <w:p>
      <w:pPr>
        <w:spacing w:after="80"/>
        <w:ind w:left="720" w:hanging="360"/>
      </w:pPr>
      <w:r>
        <w:rPr>
          <w:rFonts w:ascii="Calibri" w:hAnsi="Calibri"/>
          <w:sz w:val="22"/>
        </w:rPr>
        <w:t xml:space="preserve">• </w:t>
      </w:r>
      <w:r>
        <w:rPr>
          <w:rFonts w:ascii="Calibri" w:hAnsi="Calibri"/>
          <w:sz w:val="22"/>
        </w:rPr>
        <w:t>MAP credits are Year 1 only; Years 2-3 reflect standard AWS pricing</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$109,199 (after MAP credits) vs. $139,316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$137,331</w:t>
      </w:r>
    </w:p>
    <w:p>
      <w:pPr>
        <w:spacing w:after="80"/>
        <w:ind w:left="720" w:hanging="360"/>
      </w:pPr>
      <w:r>
        <w:rPr>
          <w:rFonts w:ascii="Calibri" w:hAnsi="Calibri"/>
          <w:sz w:val="22"/>
        </w:rPr>
        <w:t xml:space="preserve">• </w:t>
      </w:r>
      <w:r>
        <w:rPr>
          <w:rFonts w:ascii="Calibri" w:hAnsi="Calibri"/>
          <w:b/>
          <w:sz w:val="22"/>
        </w:rPr>
        <w:t>On-Premise Comparison:</w:t>
      </w:r>
      <w:r>
        <w:rPr>
          <w:rFonts w:ascii="Calibri" w:hAnsi="Calibri"/>
          <w:sz w:val="22"/>
        </w:rPr>
        <w:t xml:space="preserve"> $420K (3-year on-prem cost for 25 VMs) - </w:t>
      </w:r>
      <w:r>
        <w:rPr>
          <w:rFonts w:ascii="Calibri" w:hAnsi="Calibri"/>
          <w:b/>
          <w:sz w:val="22"/>
        </w:rPr>
        <w:t>Net Savings: $283K (67% reduction)</w:t>
      </w:r>
    </w:p>
    <w:p>
      <w:pPr>
        <w:pStyle w:val="Heading2"/>
        <w:spacing w:before="240" w:after="120"/>
        <w:ind w:left="0" w:firstLine="0"/>
      </w:pPr>
      <w:r>
        <w:t>10.3 Cost Components</w:t>
      </w:r>
    </w:p>
    <w:p>
      <w:pPr>
        <w:spacing w:after="160"/>
      </w:pPr>
      <w:r>
        <w:rPr>
          <w:rFonts w:ascii="Calibri" w:hAnsi="Calibri"/>
          <w:b/>
          <w:sz w:val="22"/>
        </w:rPr>
        <w:t>Professional Services</w:t>
      </w:r>
      <w:r>
        <w:rPr>
          <w:rFonts w:ascii="Calibri" w:hAnsi="Calibri"/>
          <w:sz w:val="22"/>
        </w:rPr>
        <w:t xml:space="preserve"> ($125,150 - 548 hours): Labor costs for migration assessment, wave planning, AWS landing zone, application/database migration, testing, cutover, and knowledge transfer. Breakdown:</w:t>
      </w:r>
    </w:p>
    <w:p>
      <w:pPr>
        <w:spacing w:after="80"/>
        <w:ind w:left="720" w:hanging="360"/>
      </w:pPr>
      <w:r>
        <w:rPr>
          <w:rFonts w:ascii="Calibri" w:hAnsi="Calibri"/>
          <w:sz w:val="22"/>
        </w:rPr>
        <w:t xml:space="preserve">• </w:t>
      </w:r>
      <w:r>
        <w:rPr>
          <w:rFonts w:ascii="Calibri" w:hAnsi="Calibri"/>
          <w:sz w:val="22"/>
        </w:rPr>
        <w:t>Assessment &amp; Planning (140 hours): Discovery, migration strategy, AWS landing zone setup</w:t>
      </w:r>
    </w:p>
    <w:p>
      <w:pPr>
        <w:spacing w:after="80"/>
        <w:ind w:left="720" w:hanging="360"/>
      </w:pPr>
      <w:r>
        <w:rPr>
          <w:rFonts w:ascii="Calibri" w:hAnsi="Calibri"/>
          <w:sz w:val="22"/>
        </w:rPr>
        <w:t xml:space="preserve">• </w:t>
      </w:r>
      <w:r>
        <w:rPr>
          <w:rFonts w:ascii="Calibri" w:hAnsi="Calibri"/>
          <w:sz w:val="22"/>
        </w:rPr>
        <w:t>Migration Execution (330 hours): Application migration, database migration, security, testing, cutover coordination</w:t>
      </w:r>
    </w:p>
    <w:p>
      <w:pPr>
        <w:spacing w:after="80"/>
        <w:ind w:left="720" w:hanging="360"/>
      </w:pPr>
      <w:r>
        <w:rPr>
          <w:rFonts w:ascii="Calibri" w:hAnsi="Calibri"/>
          <w:sz w:val="22"/>
        </w:rPr>
        <w:t xml:space="preserve">• </w:t>
      </w:r>
      <w:r>
        <w:rPr>
          <w:rFonts w:ascii="Calibri" w:hAnsi="Calibri"/>
          <w:sz w:val="22"/>
        </w:rPr>
        <w:t>Training &amp; Support (78 hours): Knowledge transfer, documentation, 60-day hypercare</w:t>
      </w:r>
    </w:p>
    <w:p>
      <w:pPr>
        <w:spacing w:after="160"/>
      </w:pPr>
      <w:r>
        <w:rPr>
          <w:rFonts w:ascii="Calibri" w:hAnsi="Calibri"/>
          <w:b/>
          <w:sz w:val="22"/>
        </w:rPr>
        <w:t>Cloud Infrastructure</w:t>
      </w:r>
      <w:r>
        <w:rPr>
          <w:rFonts w:ascii="Calibri" w:hAnsi="Calibri"/>
          <w:sz w:val="22"/>
        </w:rPr>
        <w:t xml:space="preserve"> ($9,572 Year 1, $9,472 Years 2-3): AWS services for migrated workloads:</w:t>
      </w:r>
    </w:p>
    <w:p>
      <w:pPr>
        <w:spacing w:after="80"/>
        <w:ind w:left="720" w:hanging="360"/>
      </w:pPr>
      <w:r>
        <w:rPr>
          <w:rFonts w:ascii="Calibri" w:hAnsi="Calibri"/>
          <w:sz w:val="22"/>
        </w:rPr>
        <w:t xml:space="preserve">• </w:t>
      </w:r>
      <w:r>
        <w:rPr>
          <w:rFonts w:ascii="Calibri" w:hAnsi="Calibri"/>
          <w:sz w:val="22"/>
        </w:rPr>
        <w:t>Amazon EC2 (3x t3.large), RDS (db.t3.large Multi-AZ), S3 (1TB), EBS, ALB, VPN, caching</w:t>
      </w:r>
    </w:p>
    <w:p>
      <w:pPr>
        <w:spacing w:after="80"/>
        <w:ind w:left="720" w:hanging="360"/>
      </w:pPr>
      <w:r>
        <w:rPr>
          <w:rFonts w:ascii="Calibri" w:hAnsi="Calibri"/>
          <w:sz w:val="22"/>
        </w:rPr>
        <w:t xml:space="preserve">• </w:t>
      </w:r>
      <w:r>
        <w:rPr>
          <w:rFonts w:ascii="Calibri" w:hAnsi="Calibri"/>
          <w:sz w:val="22"/>
        </w:rPr>
        <w:t>Single region deployment with standard availability</w:t>
      </w:r>
    </w:p>
    <w:p>
      <w:pPr>
        <w:spacing w:after="80"/>
        <w:ind w:left="720" w:hanging="360"/>
      </w:pPr>
      <w:r>
        <w:rPr>
          <w:rFonts w:ascii="Calibri" w:hAnsi="Calibri"/>
          <w:sz w:val="22"/>
        </w:rPr>
        <w:t xml:space="preserve">• </w:t>
      </w:r>
      <w:r>
        <w:rPr>
          <w:rFonts w:ascii="Calibri" w:hAnsi="Calibri"/>
          <w:sz w:val="22"/>
        </w:rPr>
        <w:t>Year 1 includes $100 one-time data transfer costs</w:t>
      </w:r>
    </w:p>
    <w:p>
      <w:pPr>
        <w:spacing w:after="160"/>
      </w:pPr>
      <w:r>
        <w:rPr>
          <w:rFonts w:ascii="Calibri" w:hAnsi="Calibri"/>
          <w:b/>
          <w:sz w:val="22"/>
        </w:rPr>
        <w:t>Software Licenses &amp; Subscriptions</w:t>
      </w:r>
      <w:r>
        <w:rPr>
          <w:rFonts w:ascii="Calibri" w:hAnsi="Calibri"/>
          <w:sz w:val="22"/>
        </w:rPr>
        <w:t xml:space="preserve"> ($3,132/year): Monitoring and incident management:</w:t>
      </w:r>
    </w:p>
    <w:p>
      <w:pPr>
        <w:spacing w:after="80"/>
        <w:ind w:left="720" w:hanging="360"/>
      </w:pPr>
      <w:r>
        <w:rPr>
          <w:rFonts w:ascii="Calibri" w:hAnsi="Calibri"/>
          <w:sz w:val="22"/>
        </w:rPr>
        <w:t xml:space="preserve">• </w:t>
      </w:r>
      <w:r>
        <w:rPr>
          <w:rFonts w:ascii="Calibri" w:hAnsi="Calibri"/>
          <w:sz w:val="22"/>
        </w:rPr>
        <w:t>Datadog Pro (6 hosts): $1,656/year</w:t>
      </w:r>
    </w:p>
    <w:p>
      <w:pPr>
        <w:spacing w:after="80"/>
        <w:ind w:left="720" w:hanging="360"/>
      </w:pPr>
      <w:r>
        <w:rPr>
          <w:rFonts w:ascii="Calibri" w:hAnsi="Calibri"/>
          <w:sz w:val="22"/>
        </w:rPr>
        <w:t xml:space="preserve">• </w:t>
      </w:r>
      <w:r>
        <w:rPr>
          <w:rFonts w:ascii="Calibri" w:hAnsi="Calibri"/>
          <w:sz w:val="22"/>
        </w:rPr>
        <w:t>PagerDuty Professional (3 users): $1,476/year</w:t>
      </w:r>
    </w:p>
    <w:p>
      <w:pPr>
        <w:spacing w:after="160"/>
      </w:pPr>
      <w:r>
        <w:rPr>
          <w:rFonts w:ascii="Calibri" w:hAnsi="Calibri"/>
          <w:b/>
          <w:sz w:val="22"/>
        </w:rPr>
        <w:t>Support &amp; Maintenance</w:t>
      </w:r>
      <w:r>
        <w:rPr>
          <w:rFonts w:ascii="Calibri" w:hAnsi="Calibri"/>
          <w:sz w:val="22"/>
        </w:rPr>
        <w:t xml:space="preserve"> ($1,462/year): Ongoing managed services (15% of cloud infrastructure):</w:t>
      </w:r>
    </w:p>
    <w:p>
      <w:pPr>
        <w:spacing w:after="80"/>
        <w:ind w:left="720" w:hanging="360"/>
      </w:pPr>
      <w:r>
        <w:rPr>
          <w:rFonts w:ascii="Calibri" w:hAnsi="Calibri"/>
          <w:sz w:val="22"/>
        </w:rPr>
        <w:t xml:space="preserve">• </w:t>
      </w:r>
      <w:r>
        <w:rPr>
          <w:rFonts w:ascii="Calibri" w:hAnsi="Calibri"/>
          <w:sz w:val="22"/>
        </w:rPr>
        <w:t>Monthly cost optimization reviews</w:t>
      </w:r>
    </w:p>
    <w:p>
      <w:pPr>
        <w:spacing w:after="80"/>
        <w:ind w:left="720" w:hanging="360"/>
      </w:pPr>
      <w:r>
        <w:rPr>
          <w:rFonts w:ascii="Calibri" w:hAnsi="Calibri"/>
          <w:sz w:val="22"/>
        </w:rPr>
        <w:t xml:space="preserve">• </w:t>
      </w:r>
      <w:r>
        <w:rPr>
          <w:rFonts w:ascii="Calibri" w:hAnsi="Calibri"/>
          <w:sz w:val="22"/>
        </w:rPr>
        <w:t>AWS service management</w:t>
      </w:r>
    </w:p>
    <w:p>
      <w:pPr>
        <w:spacing w:after="80"/>
        <w:ind w:left="720" w:hanging="360"/>
      </w:pPr>
      <w:r>
        <w:rPr>
          <w:rFonts w:ascii="Calibri" w:hAnsi="Calibri"/>
          <w:sz w:val="22"/>
        </w:rPr>
        <w:t xml:space="preserve">• </w:t>
      </w:r>
      <w:r>
        <w:rPr>
          <w:rFonts w:ascii="Calibri" w:hAnsi="Calibri"/>
          <w:sz w:val="22"/>
        </w:rPr>
        <w:t>Performance tuning</w:t>
      </w:r>
    </w:p>
    <w:p>
      <w:pPr>
        <w:spacing w:after="160"/>
      </w:pPr>
      <w:r>
        <w:rPr>
          <w:rFonts w:ascii="Calibri" w:hAnsi="Calibri"/>
          <w:sz w:val="22"/>
        </w:rPr>
        <w:t>Detailed breakdown including AWS service consumption, migration tasks, and cost comparison is provided in cost-breakdown.xlsx.</w:t>
      </w:r>
    </w:p>
    <w:p>
      <w:pPr>
        <w:pStyle w:val="Heading2"/>
        <w:spacing w:before="240" w:after="120"/>
        <w:ind w:left="0" w:firstLine="0"/>
      </w:pPr>
      <w:r>
        <w:t>10.4 Payment Terms</w:t>
      </w:r>
    </w:p>
    <w:p>
      <w:pPr>
        <w:pStyle w:val="Heading3"/>
        <w:spacing w:before="160" w:after="120"/>
        <w:ind w:left="0" w:firstLine="0"/>
      </w:pPr>
      <w:r>
        <w:t>10.4.1 Pricing Model</w:t>
      </w:r>
    </w:p>
    <w:p>
      <w:pPr>
        <w:spacing w:after="80"/>
        <w:ind w:left="720" w:hanging="360"/>
      </w:pPr>
      <w:r>
        <w:rPr>
          <w:rFonts w:ascii="Calibri" w:hAnsi="Calibri"/>
          <w:sz w:val="22"/>
        </w:rPr>
        <w:t xml:space="preserve">• </w:t>
      </w:r>
      <w:r>
        <w:rPr>
          <w:rFonts w:ascii="Calibri" w:hAnsi="Calibri"/>
          <w:sz w:val="22"/>
        </w:rPr>
        <w:t>Fixed price or Time &amp; Materials (T&amp;M)</w:t>
      </w:r>
    </w:p>
    <w:p>
      <w:pPr>
        <w:spacing w:after="80"/>
        <w:ind w:left="720" w:hanging="360"/>
      </w:pPr>
      <w:r>
        <w:rPr>
          <w:rFonts w:ascii="Calibri" w:hAnsi="Calibri"/>
          <w:sz w:val="22"/>
        </w:rPr>
        <w:t xml:space="preserve">• </w:t>
      </w:r>
      <w:r>
        <w:rPr>
          <w:rFonts w:ascii="Calibri" w:hAnsi="Calibri"/>
          <w:sz w:val="22"/>
        </w:rPr>
        <w:t>Milestone-based payments per Deliverables table</w:t>
      </w:r>
    </w:p>
    <w:p>
      <w:pPr>
        <w:pStyle w:val="Heading3"/>
        <w:spacing w:before="160" w:after="120"/>
        <w:ind w:left="0" w:firstLine="0"/>
      </w:pPr>
      <w:r>
        <w:t>10.4.2 Payment Schedule</w:t>
      </w:r>
    </w:p>
    <w:p>
      <w:pPr>
        <w:spacing w:after="80"/>
        <w:ind w:left="720" w:hanging="360"/>
      </w:pPr>
      <w:r>
        <w:rPr>
          <w:rFonts w:ascii="Calibri" w:hAnsi="Calibri"/>
          <w:sz w:val="22"/>
        </w:rPr>
        <w:t xml:space="preserve">• </w:t>
      </w:r>
      <w:r>
        <w:rPr>
          <w:rFonts w:ascii="Calibri" w:hAnsi="Calibri"/>
          <w:sz w:val="22"/>
        </w:rPr>
        <w:t>25% upon SOW execution and project kickoff</w:t>
      </w:r>
    </w:p>
    <w:p>
      <w:pPr>
        <w:spacing w:after="80"/>
        <w:ind w:left="720" w:hanging="360"/>
      </w:pPr>
      <w:r>
        <w:rPr>
          <w:rFonts w:ascii="Calibri" w:hAnsi="Calibri"/>
          <w:sz w:val="22"/>
        </w:rPr>
        <w:t xml:space="preserve">• </w:t>
      </w:r>
      <w:r>
        <w:rPr>
          <w:rFonts w:ascii="Calibri" w:hAnsi="Calibri"/>
          <w:sz w:val="22"/>
        </w:rPr>
        <w:t>30% upon completion of Assessment and Wave 1 migration</w:t>
      </w:r>
    </w:p>
    <w:p>
      <w:pPr>
        <w:spacing w:after="80"/>
        <w:ind w:left="720" w:hanging="360"/>
      </w:pPr>
      <w:r>
        <w:rPr>
          <w:rFonts w:ascii="Calibri" w:hAnsi="Calibri"/>
          <w:sz w:val="22"/>
        </w:rPr>
        <w:t xml:space="preserve">• </w:t>
      </w:r>
      <w:r>
        <w:rPr>
          <w:rFonts w:ascii="Calibri" w:hAnsi="Calibri"/>
          <w:sz w:val="22"/>
        </w:rPr>
        <w:t>30% upon completion of Wave 2-3 migrations</w:t>
      </w:r>
    </w:p>
    <w:p>
      <w:pPr>
        <w:spacing w:after="80"/>
        <w:ind w:left="720" w:hanging="360"/>
      </w:pPr>
      <w:r>
        <w:rPr>
          <w:rFonts w:ascii="Calibri" w:hAnsi="Calibri"/>
          <w:sz w:val="22"/>
        </w:rPr>
        <w:t xml:space="preserve">• </w:t>
      </w:r>
      <w:r>
        <w:rPr>
          <w:rFonts w:ascii="Calibri" w:hAnsi="Calibri"/>
          <w:sz w:val="22"/>
        </w:rPr>
        <w:t>15% upon successful cutover and hypercare completion</w:t>
      </w:r>
    </w:p>
    <w:p>
      <w:pPr>
        <w:pStyle w:val="Heading2"/>
        <w:spacing w:before="240" w:after="120"/>
        <w:ind w:left="0" w:firstLine="0"/>
      </w:pPr>
      <w:r>
        <w:t>10.5 Invoicing &amp; Expenses</w:t>
      </w:r>
    </w:p>
    <w:p>
      <w:pPr>
        <w:pStyle w:val="Heading3"/>
        <w:spacing w:before="160" w:after="120"/>
        <w:ind w:left="0" w:firstLine="0"/>
      </w:pPr>
      <w:r>
        <w:t>10.5.1 Invoicing</w:t>
      </w:r>
    </w:p>
    <w:p>
      <w:pPr>
        <w:spacing w:after="80"/>
        <w:ind w:left="720" w:hanging="360"/>
      </w:pPr>
      <w:r>
        <w:rPr>
          <w:rFonts w:ascii="Calibri" w:hAnsi="Calibri"/>
          <w:sz w:val="22"/>
        </w:rPr>
        <w:t xml:space="preserve">• </w:t>
      </w:r>
      <w:r>
        <w:rPr>
          <w:rFonts w:ascii="Calibri" w:hAnsi="Calibri"/>
          <w:sz w:val="22"/>
        </w:rPr>
        <w:t>Monthly invoicing</w:t>
      </w:r>
    </w:p>
    <w:p>
      <w:pPr>
        <w:spacing w:after="80"/>
        <w:ind w:left="720" w:hanging="360"/>
      </w:pPr>
      <w:r>
        <w:rPr>
          <w:rFonts w:ascii="Calibri" w:hAnsi="Calibri"/>
          <w:sz w:val="22"/>
        </w:rPr>
        <w:t xml:space="preserve">• </w:t>
      </w:r>
      <w:r>
        <w:rPr>
          <w:rFonts w:ascii="Calibri" w:hAnsi="Calibri"/>
          <w:sz w:val="22"/>
        </w:rPr>
        <w:t>Net 30 payment terms</w:t>
      </w:r>
    </w:p>
    <w:p>
      <w:pPr>
        <w:pStyle w:val="Heading3"/>
        <w:spacing w:before="160" w:after="120"/>
        <w:ind w:left="0" w:firstLine="0"/>
      </w:pPr>
      <w:r>
        <w:t>10.5.2 Expenses</w:t>
      </w:r>
    </w:p>
    <w:p>
      <w:pPr>
        <w:spacing w:after="80"/>
        <w:ind w:left="720" w:hanging="360"/>
      </w:pPr>
      <w:r>
        <w:rPr>
          <w:rFonts w:ascii="Calibri" w:hAnsi="Calibri"/>
          <w:sz w:val="22"/>
        </w:rPr>
        <w:t xml:space="preserve">• </w:t>
      </w:r>
      <w:r>
        <w:rPr>
          <w:rFonts w:ascii="Calibri" w:hAnsi="Calibri"/>
          <w:sz w:val="22"/>
        </w:rPr>
        <w:t>Reimbursable at cost with prior approval</w:t>
      </w:r>
    </w:p>
    <w:p>
      <w:pPr>
        <w:pStyle w:val="Heading2"/>
        <w:spacing w:before="240" w:after="120"/>
        <w:ind w:left="0" w:firstLine="0"/>
      </w:pPr>
      <w:r>
        <w:t>10.6 Terms &amp; Conditions</w:t>
      </w:r>
    </w:p>
    <w:p>
      <w:pPr>
        <w:spacing w:after="160"/>
      </w:pPr>
      <w:r>
        <w:rPr>
          <w:rFonts w:ascii="Calibri" w:hAnsi="Calibri"/>
          <w:sz w:val="22"/>
        </w:rPr>
        <w:t>All migration services will be delivered in accordance with the executed Master Services Agreement (MSA) or equivalent contractual document between Vendor and Client.</w:t>
      </w:r>
    </w:p>
    <w:p>
      <w:pPr>
        <w:pStyle w:val="Heading3"/>
        <w:spacing w:before="160" w:after="120"/>
        <w:ind w:left="0" w:firstLine="0"/>
      </w:pPr>
      <w:r>
        <w:t>10.6.1 Scope Changes</w:t>
      </w:r>
    </w:p>
    <w:p>
      <w:pPr>
        <w:spacing w:after="80"/>
        <w:ind w:left="720" w:hanging="360"/>
      </w:pPr>
      <w:r>
        <w:rPr>
          <w:rFonts w:ascii="Calibri" w:hAnsi="Calibri"/>
          <w:sz w:val="22"/>
        </w:rPr>
        <w:t xml:space="preserve">• </w:t>
      </w:r>
      <w:r>
        <w:rPr>
          <w:rFonts w:ascii="Calibri" w:hAnsi="Calibri"/>
          <w:sz w:val="22"/>
        </w:rPr>
        <w:t>Change Requests required for any scope, schedule, or cost adjustments</w:t>
      </w:r>
    </w:p>
    <w:p>
      <w:pPr>
        <w:pStyle w:val="Heading3"/>
        <w:spacing w:before="160" w:after="120"/>
        <w:ind w:left="0" w:firstLine="0"/>
      </w:pPr>
      <w:r>
        <w:t>10.6.2 Intellectual Property</w:t>
      </w:r>
    </w:p>
    <w:p>
      <w:pPr>
        <w:spacing w:after="80"/>
        <w:ind w:left="720" w:hanging="360"/>
      </w:pPr>
      <w:r>
        <w:rPr>
          <w:rFonts w:ascii="Calibri" w:hAnsi="Calibri"/>
          <w:sz w:val="22"/>
        </w:rPr>
        <w:t xml:space="preserve">• </w:t>
      </w:r>
      <w:r>
        <w:rPr>
          <w:rFonts w:ascii="Calibri" w:hAnsi="Calibri"/>
          <w:sz w:val="22"/>
        </w:rPr>
        <w:t>Client retains all ownership of migrated assets, applications, and cloud configs</w:t>
      </w:r>
    </w:p>
    <w:p>
      <w:pPr>
        <w:spacing w:after="80"/>
        <w:ind w:left="720" w:hanging="360"/>
      </w:pPr>
      <w:r>
        <w:rPr>
          <w:rFonts w:ascii="Calibri" w:hAnsi="Calibri"/>
          <w:sz w:val="22"/>
        </w:rPr>
        <w:t xml:space="preserve">• </w:t>
      </w:r>
      <w:r>
        <w:rPr>
          <w:rFonts w:ascii="Calibri" w:hAnsi="Calibri"/>
          <w:sz w:val="22"/>
        </w:rPr>
        <w:t>Vendor retains proprietary scripts and accelerators unless otherwise agreed</w:t>
      </w:r>
    </w:p>
    <w:p>
      <w:pPr>
        <w:pStyle w:val="Heading3"/>
        <w:spacing w:before="160" w:after="120"/>
        <w:ind w:left="0" w:firstLine="0"/>
      </w:pPr>
      <w:r>
        <w:t>10.6.3 Service Levels</w:t>
      </w:r>
    </w:p>
    <w:p>
      <w:pPr>
        <w:spacing w:after="80"/>
        <w:ind w:left="720" w:hanging="360"/>
      </w:pPr>
      <w:r>
        <w:rPr>
          <w:rFonts w:ascii="Calibri" w:hAnsi="Calibri"/>
          <w:sz w:val="22"/>
        </w:rPr>
        <w:t xml:space="preserve">• </w:t>
      </w:r>
      <w:r>
        <w:rPr>
          <w:rFonts w:ascii="Calibri" w:hAnsi="Calibri"/>
          <w:sz w:val="22"/>
        </w:rPr>
        <w:t>Deliverables based on best effort unless otherwise specified in SLAs</w:t>
      </w:r>
    </w:p>
    <w:p>
      <w:pPr>
        <w:spacing w:after="80"/>
        <w:ind w:left="720" w:hanging="360"/>
      </w:pPr>
      <w:r>
        <w:rPr>
          <w:rFonts w:ascii="Calibri" w:hAnsi="Calibri"/>
          <w:sz w:val="22"/>
        </w:rPr>
        <w:t xml:space="preserve">• </w:t>
      </w:r>
      <w:r>
        <w:rPr>
          <w:rFonts w:ascii="Calibri" w:hAnsi="Calibri"/>
          <w:sz w:val="22"/>
        </w:rPr>
        <w:t>Hypercare period of [X] weeks included with option to extend via managed services</w:t>
      </w:r>
    </w:p>
    <w:p>
      <w:pPr>
        <w:pStyle w:val="Heading3"/>
        <w:spacing w:before="160" w:after="120"/>
        <w:ind w:left="0" w:firstLine="0"/>
      </w:pPr>
      <w:r>
        <w:t>10.6.4 Liability</w:t>
      </w:r>
    </w:p>
    <w:p>
      <w:pPr>
        <w:spacing w:after="80"/>
        <w:ind w:left="720" w:hanging="360"/>
      </w:pPr>
      <w:r>
        <w:rPr>
          <w:rFonts w:ascii="Calibri" w:hAnsi="Calibri"/>
          <w:sz w:val="22"/>
        </w:rPr>
        <w:t xml:space="preserve">• </w:t>
      </w:r>
      <w:r>
        <w:rPr>
          <w:rFonts w:ascii="Calibri" w:hAnsi="Calibri"/>
          <w:sz w:val="22"/>
        </w:rPr>
        <w:t>Liability caps as agreed in MSA</w:t>
      </w:r>
    </w:p>
    <w:p>
      <w:pPr>
        <w:spacing w:after="80"/>
        <w:ind w:left="720" w:hanging="360"/>
      </w:pPr>
      <w:r>
        <w:rPr>
          <w:rFonts w:ascii="Calibri" w:hAnsi="Calibri"/>
          <w:sz w:val="22"/>
        </w:rPr>
        <w:t xml:space="preserve">• </w:t>
      </w:r>
      <w:r>
        <w:rPr>
          <w:rFonts w:ascii="Calibri" w:hAnsi="Calibri"/>
          <w:sz w:val="22"/>
        </w:rPr>
        <w:t>Excludes confidentiality or IP infringement breach</w:t>
      </w:r>
    </w:p>
    <w:p>
      <w:pPr>
        <w:pStyle w:val="Heading3"/>
        <w:spacing w:before="160" w:after="120"/>
        <w:ind w:left="0" w:firstLine="0"/>
      </w:pPr>
      <w:r>
        <w:t>10.6.5 Confidentiality</w:t>
      </w:r>
    </w:p>
    <w:p>
      <w:pPr>
        <w:spacing w:after="80"/>
        <w:ind w:left="720" w:hanging="360"/>
      </w:pPr>
      <w:r>
        <w:rPr>
          <w:rFonts w:ascii="Calibri" w:hAnsi="Calibri"/>
          <w:sz w:val="22"/>
        </w:rPr>
        <w:t xml:space="preserve">• </w:t>
      </w:r>
      <w:r>
        <w:rPr>
          <w:rFonts w:ascii="Calibri" w:hAnsi="Calibri"/>
          <w:sz w:val="22"/>
        </w:rPr>
        <w:t>All exchanged artifacts under NDA protection</w:t>
      </w:r>
    </w:p>
    <w:p>
      <w:pPr>
        <w:pStyle w:val="Heading3"/>
        <w:spacing w:before="160" w:after="120"/>
        <w:ind w:left="0" w:firstLine="0"/>
      </w:pPr>
      <w:r>
        <w:t>10.6.6 Termination</w:t>
      </w:r>
    </w:p>
    <w:p>
      <w:pPr>
        <w:spacing w:after="80"/>
        <w:ind w:left="720" w:hanging="360"/>
      </w:pPr>
      <w:r>
        <w:rPr>
          <w:rFonts w:ascii="Calibri" w:hAnsi="Calibri"/>
          <w:sz w:val="22"/>
        </w:rPr>
        <w:t xml:space="preserve">• </w:t>
      </w:r>
      <w:r>
        <w:rPr>
          <w:rFonts w:ascii="Calibri" w:hAnsi="Calibri"/>
          <w:sz w:val="22"/>
        </w:rPr>
        <w:t>Mutually terminable per MSA terms, subject to payment for completed work</w:t>
      </w:r>
    </w:p>
    <w:p>
      <w:pPr>
        <w:pStyle w:val="Heading3"/>
        <w:spacing w:before="160" w:after="120"/>
        <w:ind w:left="0" w:firstLine="0"/>
      </w:pPr>
      <w:r>
        <w:t>10.6.7 Governing Law</w:t>
      </w:r>
    </w:p>
    <w:p>
      <w:pPr>
        <w:spacing w:after="80"/>
        <w:ind w:left="720" w:hanging="360"/>
      </w:pPr>
      <w:r>
        <w:rPr>
          <w:rFonts w:ascii="Calibri" w:hAnsi="Calibri"/>
          <w:sz w:val="22"/>
        </w:rPr>
        <w:t xml:space="preserve">• </w:t>
      </w:r>
      <w:r>
        <w:rPr>
          <w:rFonts w:ascii="Calibri" w:hAnsi="Calibri"/>
          <w:sz w:val="22"/>
        </w:rPr>
        <w:t>Agreement governed under the laws of [State/Region]</w:t>
      </w:r>
    </w:p>
    <w:p>
      <w:pPr>
        <w:pStyle w:val="Heading1"/>
        <w:spacing w:before="160" w:after="120"/>
        <w:ind w:left="0" w:firstLine="0"/>
      </w:pPr>
      <w:r>
        <w:t>11 Terms &amp; Conditions</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cloud migration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Enterprise Solution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