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F37F3E" w14:textId="77777777" w:rsidR="00517E5A" w:rsidRDefault="00517E5A"/>
    <w:p w14:paraId="68651562" w14:textId="77777777" w:rsidR="00517E5A" w:rsidRDefault="00517E5A"/>
    <w:p w14:paraId="08F242B9" w14:textId="77777777" w:rsidR="00517E5A" w:rsidRDefault="00517E5A"/>
    <w:p w14:paraId="50F658D2" w14:textId="77777777" w:rsidR="00517E5A" w:rsidRDefault="00000000">
      <w:pPr>
        <w:jc w:val="center"/>
      </w:pPr>
      <w:r>
        <w:rPr>
          <w:noProof/>
        </w:rPr>
        <w:drawing>
          <wp:inline distT="0" distB="0" distL="0" distR="0" wp14:anchorId="7E06817B" wp14:editId="5AA24B6F">
            <wp:extent cx="3657600" cy="1045029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onsulting_company_logo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10450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BA512D" w14:textId="77777777" w:rsidR="00517E5A" w:rsidRDefault="00517E5A"/>
    <w:p w14:paraId="27C8D981" w14:textId="1774A57B" w:rsidR="00517E5A" w:rsidRDefault="002B4224">
      <w:pPr>
        <w:pStyle w:val="Title"/>
        <w:jc w:val="center"/>
      </w:pPr>
      <w:r>
        <w:t>Detailed Design Document</w:t>
      </w:r>
      <w:r w:rsidR="005B0B47"/>
      <w:r/>
    </w:p>
    <w:p w14:paraId="5F4CFF81" w14:textId="77777777" w:rsidR="00517E5A" w:rsidRDefault="00000000">
      <w:pPr>
        <w:jc w:val="center"/>
      </w:pPr>
      <w:r>
        <w:rPr>
          <w:b/>
          <w:color w:val="5B6770"/>
          <w:sz w:val="40"/>
        </w:rPr>
        <w:t>Azure DevOps Enterprise Platform</w:t>
      </w:r>
    </w:p>
    <w:p w14:paraId="27F2E94E" w14:textId="77777777" w:rsidR="00517E5A" w:rsidRDefault="00517E5A"/>
    <w:p w14:paraId="2CED2F54" w14:textId="77777777" w:rsidR="00517E5A" w:rsidRDefault="00517E5A"/>
    <w:tbl>
      <w:tblPr>
        <w:tblW w:w="0" w:type="auto"/>
        <w:tblLook w:val="04A0" w:firstRow="1" w:lastRow="0" w:firstColumn="1" w:lastColumn="0" w:noHBand="0" w:noVBand="1"/>
      </w:tblPr>
      <w:tblGrid>
        <w:gridCol w:w="2831"/>
        <w:gridCol w:w="5969"/>
      </w:tblGrid>
      <w:tr w:rsidR="00517E5A" w14:paraId="0859EFE3" w14:textId="77777777">
        <w:tc>
          <w:tcPr>
            <w:tcW w:w="2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0F8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23D62C3" w14:textId="77777777" w:rsidR="00517E5A" w:rsidRDefault="00000000">
            <w:pPr>
              <w:spacing w:before="80" w:after="80" w:line="240" w:lineRule="auto"/>
            </w:pPr>
            <w:r>
              <w:rPr>
                <w:b/>
              </w:rPr>
              <w:t>Client:</w:t>
            </w:r>
          </w:p>
        </w:tc>
        <w:tc>
          <w:tcPr>
            <w:tcW w:w="6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>[CLIENT]</w:t>
            </w:r>
          </w:p>
        </w:tc>
      </w:tr>
      <w:tr w:rsidR="00517E5A" w14:paraId="19DBB3F4" w14:textId="77777777">
        <w:tc>
          <w:tcPr>
            <w:tcW w:w="2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0F8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D549C2C" w14:textId="77777777" w:rsidR="00517E5A" w:rsidRDefault="00000000">
            <w:pPr>
              <w:spacing w:before="80" w:after="80" w:line="240" w:lineRule="auto"/>
            </w:pPr>
            <w:r>
              <w:rPr>
                <w:b/>
              </w:rPr>
              <w:t>Date:</w:t>
            </w:r>
          </w:p>
        </w:tc>
        <w:tc>
          <w:tcPr>
            <w:tcW w:w="6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>November 28, 2025</w:t>
            </w:r>
          </w:p>
        </w:tc>
      </w:tr>
      <w:tr w:rsidR="00517E5A" w14:paraId="2757AE9A" w14:textId="77777777">
        <w:tc>
          <w:tcPr>
            <w:tcW w:w="2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0F8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C9348F2" w14:textId="77777777" w:rsidR="00517E5A" w:rsidRDefault="00000000">
            <w:pPr>
              <w:spacing w:before="80" w:after="80" w:line="240" w:lineRule="auto"/>
            </w:pPr>
            <w:r>
              <w:rPr>
                <w:b/>
              </w:rPr>
              <w:t>Consulting Company:</w:t>
            </w:r>
          </w:p>
        </w:tc>
        <w:tc>
          <w:tcPr>
            <w:tcW w:w="6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>[Consulting Company Name]</w:t>
            </w:r>
          </w:p>
        </w:tc>
      </w:tr>
      <w:tr w:rsidR="00517E5A" w14:paraId="75B0F37D" w14:textId="77777777">
        <w:tc>
          <w:tcPr>
            <w:tcW w:w="2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0F8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9D20D4E" w14:textId="77777777" w:rsidR="00517E5A" w:rsidRDefault="00000000">
            <w:pPr>
              <w:spacing w:before="80" w:after="80" w:line="240" w:lineRule="auto"/>
            </w:pPr>
            <w:r>
              <w:rPr>
                <w:b/>
              </w:rPr>
              <w:t>Submitted By:</w:t>
            </w:r>
          </w:p>
        </w:tc>
        <w:tc>
          <w:tcPr>
            <w:tcW w:w="6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>[Name | Email | Phone]</w:t>
            </w:r>
          </w:p>
        </w:tc>
      </w:tr>
      <w:tr w:rsidR="00517E5A" w14:paraId="2AF64A28" w14:textId="77777777">
        <w:tc>
          <w:tcPr>
            <w:tcW w:w="2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0F8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079F9B3" w14:textId="77777777" w:rsidR="00517E5A" w:rsidRDefault="00000000">
            <w:pPr>
              <w:spacing w:before="80" w:after="80" w:line="240" w:lineRule="auto"/>
            </w:pPr>
            <w:r>
              <w:rPr>
                <w:b/>
              </w:rPr>
              <w:t>Opportunity No:</w:t>
            </w:r>
          </w:p>
        </w:tc>
        <w:tc>
          <w:tcPr>
            <w:tcW w:w="6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>OPP-XXXXX</w:t>
            </w:r>
          </w:p>
        </w:tc>
      </w:tr>
      <w:tr w:rsidR="00517E5A" w14:paraId="07DB0AC9" w14:textId="77777777">
        <w:tc>
          <w:tcPr>
            <w:tcW w:w="2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0F8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587A88A" w14:textId="77777777" w:rsidR="00517E5A" w:rsidRDefault="00000000">
            <w:pPr>
              <w:spacing w:before="80" w:after="80" w:line="240" w:lineRule="auto"/>
            </w:pPr>
            <w:r>
              <w:rPr>
                <w:b/>
              </w:rPr>
              <w:t>Version:</w:t>
            </w:r>
          </w:p>
        </w:tc>
        <w:tc>
          <w:tcPr>
            <w:tcW w:w="6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>1.0</w:t>
            </w:r>
          </w:p>
        </w:tc>
      </w:tr>
    </w:tbl>
    <w:p w14:paraId="793983A1" w14:textId="77777777" w:rsidR="00517E5A" w:rsidRDefault="00000000">
      <w:pPr>
        <w:jc w:val="center"/>
      </w:pPr>
      <w:r>
        <w:t xml:space="preserve"> </w:t>
      </w:r>
    </w:p>
    <w:p w14:paraId="2E7BB210" w14:textId="77777777" w:rsidR="00517E5A" w:rsidRDefault="00000000">
      <w:r>
        <w:br w:type="page"/>
      </w:r>
    </w:p>
    <w:p w14:paraId="5A6AE0CF" w14:textId="77777777" w:rsidR="00517E5A" w:rsidRDefault="00517E5A"/>
    <w:p w14:paraId="513F4C99" w14:textId="77777777" w:rsidR="00517E5A" w:rsidRDefault="00000000">
      <w:pPr>
        <w:pStyle w:val="Heading1"/>
      </w:pPr>
      <w:r>
        <w:t>Table of Contents</w:t>
      </w:r>
    </w:p>
    <w:p w14:paraId="04464BF0" w14:textId="77777777" w:rsidR="00517E5A" w:rsidRDefault="00000000">
      <w:pPr>
        <w:spacing w:before="60" w:after="60"/>
      </w:pPr>
      <w:r>
        <w:fldChar w:fldCharType="begin"/>
      </w:r>
      <w:r>
        <w:instrText>TOC \o "1-3" \h \z \u</w:instrText>
      </w:r>
      <w:r>
        <w:fldChar w:fldCharType="separate"/>
      </w:r>
      <w:r>
        <w:t>1 Introduction</w:t>
      </w:r>
      <w:r>
        <w:br/>
        <w:t xml:space="preserve">    1.1 Purpose</w:t>
      </w:r>
      <w:r>
        <w:br/>
        <w:t xml:space="preserve">        1.1.1 Scope</w:t>
      </w:r>
      <w:r>
        <w:br/>
        <w:t>2 Table Content</w:t>
      </w:r>
      <w:r>
        <w:br/>
        <w:t>3 Image Section</w:t>
      </w:r>
      <w:r>
        <w:br/>
        <w:t>4 Additional Content</w:t>
      </w:r>
      <w:r>
        <w:br/>
        <w:t>5 Sign-Off</w:t>
      </w:r>
      <w:r>
        <w:fldChar w:fldCharType="end"/>
      </w:r>
    </w:p>
    <w:p w14:paraId="17DBFB80" w14:textId="77777777" w:rsidR="00517E5A" w:rsidRDefault="00000000">
      <w:r>
        <w:br w:type="page"/>
      </w:r>
    </w:p>
    <w:p w14:paraId="6D4C11A6" w14:textId="77777777" w:rsidR="00517E5A" w:rsidRDefault="00517E5A"/>
    <w:p w14:paraId="1A4DF755" w14:textId="77777777" w:rsidR="00517E5A" w:rsidRDefault="00000000">
      <w:pPr>
        <w:pStyle w:val="Heading1"/>
      </w:pPr>
      <w:r>
        <w:t>List of Figures</w:t>
      </w:r>
    </w:p>
    <w:p w14:paraId="39AC922E" w14:textId="77777777" w:rsidR="00517E5A" w:rsidRDefault="00000000">
      <w:pPr>
        <w:spacing w:before="60" w:after="60" w:line="240" w:lineRule="auto"/>
      </w:pPr>
      <w:r>
        <w:fldChar w:fldCharType="begin"/>
      </w:r>
      <w:r>
        <w:instrText>TOC \h \z \c "Figure"</w:instrText>
      </w:r>
      <w:r>
        <w:fldChar w:fldCharType="separate"/>
      </w:r>
      <w:r>
        <w:t>Figure 1: Sample Architecture Diagram</w:t>
      </w:r>
      <w:r>
        <w:fldChar w:fldCharType="end"/>
      </w:r>
    </w:p>
    <w:p w14:paraId="7C0FEECF" w14:textId="77777777" w:rsidR="00517E5A" w:rsidRDefault="00000000">
      <w:pPr>
        <w:pStyle w:val="Heading1"/>
      </w:pPr>
      <w:r>
        <w:t>List of Tables</w:t>
      </w:r>
    </w:p>
    <w:p w14:paraId="3D5E0F34" w14:textId="77777777" w:rsidR="00517E5A" w:rsidRDefault="00000000">
      <w:pPr>
        <w:spacing w:before="60" w:after="60" w:line="240" w:lineRule="auto"/>
      </w:pPr>
      <w:r>
        <w:fldChar w:fldCharType="begin"/>
      </w:r>
      <w:r>
        <w:instrText>TOC \h \z \c "Table"</w:instrText>
      </w:r>
      <w:r>
        <w:fldChar w:fldCharType="separate"/>
      </w:r>
      <w:r>
        <w:t>Table 1: Sample Deliverables Table</w:t>
      </w:r>
      <w:r>
        <w:fldChar w:fldCharType="end"/>
      </w:r>
    </w:p>
    <w:p w14:paraId="5C7A15DB" w14:textId="77777777" w:rsidR="00517E5A" w:rsidRDefault="00000000">
      <w:r>
        <w:br w:type="page"/>
      </w:r>
    </w:p>
    <w:p>
      <w:pPr>
        <w:pStyle w:val="Heading1"/>
        <w:spacing w:before="160" w:after="120"/>
        <w:ind w:left="0"/>
      </w:pPr>
      <w:r>
        <w:t>1 Executive Summary</w:t>
      </w:r>
    </w:p>
    <w:p>
      <w:r>
        <w:rPr>
          <w:rFonts w:ascii="Calibri" w:hAnsi="Calibri"/>
          <w:sz w:val="24"/>
        </w:rPr>
        <w:t>This document provides the comprehensive technical design for the Azure DevOps Enterprise Platform solution. It covers the target-state architecture leveraging Azure DevOps Services for CI/CD automation, Azure Container Registry for container management, Azure Kubernetes Service for orchestration, and supporting services for security, monitoring, and compliance.</w:t>
      </w:r>
    </w:p>
    <w:p>
      <w:pPr>
        <w:pStyle w:val="Heading2"/>
        <w:spacing w:before="240" w:after="120"/>
        <w:ind w:left="0"/>
      </w:pPr>
      <w:r>
        <w:t>1.1 Purpose</w:t>
      </w:r>
    </w:p>
    <w:p>
      <w:r>
        <w:rPr>
          <w:rFonts w:ascii="Calibri" w:hAnsi="Calibri"/>
          <w:sz w:val="24"/>
        </w:rPr>
        <w:t>Define the technical architecture and design specifications that will guide the implementation team through deployment, configuration, and validation of the enterprise DevOps platform on Microsoft Azure.</w:t>
      </w:r>
    </w:p>
    <w:p>
      <w:pPr>
        <w:pStyle w:val="Heading2"/>
        <w:spacing w:before="240" w:after="120"/>
        <w:ind w:left="0"/>
      </w:pPr>
      <w:r>
        <w:t>1.2 Scope</w:t>
      </w:r>
    </w:p>
    <w:p>
      <w:r>
        <w:rPr>
          <w:rFonts w:ascii="Calibri" w:hAnsi="Calibri"/>
          <w:b/>
          <w:sz w:val="24"/>
        </w:rPr>
        <w:t>In-scope: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Azure DevOps organization setup and configuration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CI/CD pipeline framework with YAML templates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Container registry and Kubernetes cluster deployment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Security scanning and quality gates integration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Infrastructure as Code (Terraform/ARM) automation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Monitoring and observability implementation</w:t>
      </w:r>
    </w:p>
    <w:p>
      <w:r>
        <w:rPr>
          <w:rFonts w:ascii="Calibri" w:hAnsi="Calibri"/>
          <w:b/>
          <w:sz w:val="24"/>
        </w:rPr>
        <w:t>Out-of-scope: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Application development (client responsibility)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Custom tool development beyond standard configuration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Third-party application licensing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Ongoing managed services post-hypercare</w:t>
      </w:r>
    </w:p>
    <w:p>
      <w:pPr>
        <w:pStyle w:val="Heading2"/>
        <w:spacing w:before="240" w:after="120"/>
        <w:ind w:left="0"/>
      </w:pPr>
      <w:r>
        <w:t>1.3 Assumptions &amp; Constraints</w:t>
      </w:r>
    </w:p>
    <w:p>
      <w:r>
        <w:rPr>
          <w:rFonts w:ascii="Calibri" w:hAnsi="Calibri"/>
          <w:sz w:val="24"/>
        </w:rPr>
        <w:t>The following assumptions underpin the design and must be validated during implementation.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Azure subscription with appropriate service quotas established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Azure AD tenant configured for SSO integration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Network connectivity available for hybrid scenarios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Development teams available for pilot program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Existing source control migration requirements documented</w:t>
      </w:r>
    </w:p>
    <w:p>
      <w:pPr>
        <w:pStyle w:val="Heading2"/>
        <w:spacing w:before="240" w:after="120"/>
        <w:ind w:left="0"/>
      </w:pPr>
      <w:r>
        <w:t>1.4 References</w:t>
      </w:r>
    </w:p>
    <w:p>
      <w:r>
        <w:rPr>
          <w:rFonts w:ascii="Calibri" w:hAnsi="Calibri"/>
          <w:sz w:val="24"/>
        </w:rPr>
        <w:t>This document should be read in conjunction with the following related materials.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Statement of Work (SOW)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Discovery Questionnaire responses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Azure DevOps documentation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Kubernetes best practices documentation</w:t>
      </w:r>
    </w:p>
    <w:p>
      <w:pPr>
        <w:pStyle w:val="Heading1"/>
        <w:spacing w:before="160" w:after="120"/>
        <w:ind w:left="0"/>
      </w:pPr>
      <w:r>
        <w:t>2 Business Context</w:t>
      </w:r>
    </w:p>
    <w:p>
      <w:r>
        <w:rPr>
          <w:rFonts w:ascii="Calibri" w:hAnsi="Calibri"/>
          <w:sz w:val="24"/>
        </w:rPr>
        <w:t>This section establishes the business drivers, success criteria, and compliance requirements that shape the technical design decisions.</w:t>
      </w:r>
    </w:p>
    <w:p>
      <w:pPr>
        <w:pStyle w:val="Heading2"/>
        <w:spacing w:before="240" w:after="120"/>
        <w:ind w:left="0"/>
      </w:pPr>
      <w:r>
        <w:t>2.1 Business Drivers</w:t>
      </w:r>
    </w:p>
    <w:p>
      <w:r>
        <w:rPr>
          <w:rFonts w:ascii="Calibri" w:hAnsi="Calibri"/>
          <w:sz w:val="24"/>
        </w:rPr>
        <w:t>The solution addresses the following key business objectives identified during discovery.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b/>
          <w:sz w:val="24"/>
        </w:rPr>
        <w:t>Deployment Acceleration:</w:t>
      </w:r>
      <w:r>
        <w:rPr>
          <w:rFonts w:ascii="Calibri" w:hAnsi="Calibri"/>
          <w:sz w:val="24"/>
        </w:rPr>
        <w:t xml:space="preserve"> Reduce deployment cycles by 60% through automated CI/CD pipelines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b/>
          <w:sz w:val="24"/>
        </w:rPr>
        <w:t>Developer Productivity:</w:t>
      </w:r>
      <w:r>
        <w:rPr>
          <w:rFonts w:ascii="Calibri" w:hAnsi="Calibri"/>
          <w:sz w:val="24"/>
        </w:rPr>
        <w:t xml:space="preserve"> Improve developer efficiency by 45% through tooling and automation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b/>
          <w:sz w:val="24"/>
        </w:rPr>
        <w:t>Quality Enhancement:</w:t>
      </w:r>
      <w:r>
        <w:rPr>
          <w:rFonts w:ascii="Calibri" w:hAnsi="Calibri"/>
          <w:sz w:val="24"/>
        </w:rPr>
        <w:t xml:space="preserve"> Reduce production defects by 70% through automated testing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b/>
          <w:sz w:val="24"/>
        </w:rPr>
        <w:t>Cost Optimization:</w:t>
      </w:r>
      <w:r>
        <w:rPr>
          <w:rFonts w:ascii="Calibri" w:hAnsi="Calibri"/>
          <w:sz w:val="24"/>
        </w:rPr>
        <w:t xml:space="preserve"> Achieve 40% reduction in development and deployment costs</w:t>
      </w:r>
    </w:p>
    <w:p>
      <w:pPr>
        <w:pStyle w:val="Heading2"/>
        <w:spacing w:before="240" w:after="120"/>
        <w:ind w:left="0"/>
      </w:pPr>
      <w:r>
        <w:t>2.2 Workload Criticality &amp; SLA Expectations</w:t>
      </w:r>
    </w:p>
    <w:p>
      <w:r>
        <w:rPr>
          <w:rFonts w:ascii="Calibri" w:hAnsi="Calibri"/>
          <w:sz w:val="24"/>
        </w:rPr>
        <w:t>The following service level targets define the operational requirements for the production environment.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3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  <w:vAlign w:val="center"/>
            <w:shd w:fill="E8F0F8"/>
          </w:tcPr>
          <w:p>
            <w:pPr>
              <w:spacing w:before="120" w:after="120"/>
              <w:jc w:val="center"/>
            </w:pPr>
            <w:r>
              <w:rPr>
                <w:rFonts w:ascii="Calibri" w:hAnsi="Calibri"/>
                <w:b/>
                <w:sz w:val="24"/>
              </w:rPr>
              <w:t>Metric</w:t>
            </w:r>
          </w:p>
        </w:tc>
        <w:tc>
          <w:tcPr>
            <w:tcW w:type="dxa" w:w="23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  <w:vAlign w:val="center"/>
            <w:shd w:fill="E8F0F8"/>
          </w:tcPr>
          <w:p>
            <w:pPr>
              <w:spacing w:before="120" w:after="120"/>
              <w:jc w:val="center"/>
            </w:pPr>
            <w:r>
              <w:rPr>
                <w:rFonts w:ascii="Calibri" w:hAnsi="Calibri"/>
                <w:b/>
                <w:sz w:val="24"/>
              </w:rPr>
              <w:t>Target</w:t>
            </w:r>
          </w:p>
        </w:tc>
        <w:tc>
          <w:tcPr>
            <w:tcW w:type="dxa" w:w="23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  <w:vAlign w:val="center"/>
            <w:shd w:fill="E8F0F8"/>
          </w:tcPr>
          <w:p>
            <w:pPr>
              <w:spacing w:before="120" w:after="120"/>
              <w:jc w:val="center"/>
            </w:pPr>
            <w:r>
              <w:rPr>
                <w:rFonts w:ascii="Calibri" w:hAnsi="Calibri"/>
                <w:b/>
                <w:sz w:val="24"/>
              </w:rPr>
              <w:t>Measurement</w:t>
            </w:r>
          </w:p>
        </w:tc>
        <w:tc>
          <w:tcPr>
            <w:tcW w:type="dxa" w:w="23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  <w:vAlign w:val="center"/>
            <w:shd w:fill="E8F0F8"/>
          </w:tcPr>
          <w:p>
            <w:pPr>
              <w:spacing w:before="120" w:after="120"/>
              <w:jc w:val="center"/>
            </w:pPr>
            <w:r>
              <w:rPr>
                <w:rFonts w:ascii="Calibri" w:hAnsi="Calibri"/>
                <w:b/>
                <w:sz w:val="24"/>
              </w:rPr>
              <w:t>Priority</w:t>
            </w:r>
          </w:p>
        </w:tc>
      </w:tr>
      <w:tr>
        <w:tc>
          <w:tcPr>
            <w:tcW w:type="dxa" w:w="23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Platform Availability</w:t>
            </w:r>
          </w:p>
        </w:tc>
        <w:tc>
          <w:tcPr>
            <w:tcW w:type="dxa" w:w="23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99.9%</w:t>
            </w:r>
          </w:p>
        </w:tc>
        <w:tc>
          <w:tcPr>
            <w:tcW w:type="dxa" w:w="23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Azure Service Health</w:t>
            </w:r>
          </w:p>
        </w:tc>
        <w:tc>
          <w:tcPr>
            <w:tcW w:type="dxa" w:w="23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Critical</w:t>
            </w:r>
          </w:p>
        </w:tc>
      </w:tr>
      <w:tr>
        <w:tc>
          <w:tcPr>
            <w:tcW w:type="dxa" w:w="23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Build Time</w:t>
            </w:r>
          </w:p>
        </w:tc>
        <w:tc>
          <w:tcPr>
            <w:tcW w:type="dxa" w:w="23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&lt; 10 minutes</w:t>
            </w:r>
          </w:p>
        </w:tc>
        <w:tc>
          <w:tcPr>
            <w:tcW w:type="dxa" w:w="23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Pipeline metrics</w:t>
            </w:r>
          </w:p>
        </w:tc>
        <w:tc>
          <w:tcPr>
            <w:tcW w:type="dxa" w:w="23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High</w:t>
            </w:r>
          </w:p>
        </w:tc>
      </w:tr>
      <w:tr>
        <w:tc>
          <w:tcPr>
            <w:tcW w:type="dxa" w:w="23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Deployment Time</w:t>
            </w:r>
          </w:p>
        </w:tc>
        <w:tc>
          <w:tcPr>
            <w:tcW w:type="dxa" w:w="23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&lt; 5 minutes</w:t>
            </w:r>
          </w:p>
        </w:tc>
        <w:tc>
          <w:tcPr>
            <w:tcW w:type="dxa" w:w="23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Deployment metrics</w:t>
            </w:r>
          </w:p>
        </w:tc>
        <w:tc>
          <w:tcPr>
            <w:tcW w:type="dxa" w:w="23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High</w:t>
            </w:r>
          </w:p>
        </w:tc>
      </w:tr>
      <w:tr>
        <w:tc>
          <w:tcPr>
            <w:tcW w:type="dxa" w:w="23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Pipeline Queue Time</w:t>
            </w:r>
          </w:p>
        </w:tc>
        <w:tc>
          <w:tcPr>
            <w:tcW w:type="dxa" w:w="23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&lt; 2 minutes</w:t>
            </w:r>
          </w:p>
        </w:tc>
        <w:tc>
          <w:tcPr>
            <w:tcW w:type="dxa" w:w="23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Agent pool metrics</w:t>
            </w:r>
          </w:p>
        </w:tc>
        <w:tc>
          <w:tcPr>
            <w:tcW w:type="dxa" w:w="23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Medium</w:t>
            </w:r>
          </w:p>
        </w:tc>
      </w:tr>
      <w:tr>
        <w:tc>
          <w:tcPr>
            <w:tcW w:type="dxa" w:w="23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API Response Time</w:t>
            </w:r>
          </w:p>
        </w:tc>
        <w:tc>
          <w:tcPr>
            <w:tcW w:type="dxa" w:w="23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&lt; 500ms (p95)</w:t>
            </w:r>
          </w:p>
        </w:tc>
        <w:tc>
          <w:tcPr>
            <w:tcW w:type="dxa" w:w="23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Application Insights</w:t>
            </w:r>
          </w:p>
        </w:tc>
        <w:tc>
          <w:tcPr>
            <w:tcW w:type="dxa" w:w="23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Medium</w:t>
            </w:r>
          </w:p>
        </w:tc>
      </w:tr>
    </w:tbl>
    <w:p>
      <w:pPr>
        <w:pStyle w:val="Caption"/>
        <w:spacing w:before="60" w:after="240"/>
        <w:jc w:val="center"/>
      </w:pPr>
      <w:r>
        <w:rPr>
          <w:rFonts w:ascii="Calibri" w:hAnsi="Calibri"/>
          <w:sz w:val="20"/>
        </w:rPr>
        <w:t xml:space="preserve">Table </w:t>
      </w:r>
      <w:r>
        <w:fldChar w:fldCharType="begin"/>
      </w:r>
      <w:r>
        <w:instrText xml:space="preserve"> SEQ Table \* ARABIC </w:instrText>
      </w:r>
      <w:r>
        <w:fldChar w:fldCharType="separate"/>
      </w:r>
      <w:r>
        <w:rPr>
          <w:rFonts w:ascii="Calibri" w:hAnsi="Calibri"/>
          <w:sz w:val="20"/>
        </w:rPr>
        <w:t>1</w:t>
      </w:r>
      <w:r>
        <w:fldChar w:fldCharType="end"/>
      </w:r>
      <w:r>
        <w:rPr>
          <w:rFonts w:ascii="Calibri" w:hAnsi="Calibri"/>
          <w:sz w:val="20"/>
        </w:rPr>
        <w:t>: Service Level Targets</w:t>
      </w:r>
    </w:p>
    <w:p>
      <w:pPr>
        <w:pStyle w:val="Heading2"/>
        <w:spacing w:before="240" w:after="120"/>
        <w:ind w:left="0"/>
      </w:pPr>
      <w:r>
        <w:t>2.3 Compliance &amp; Regulatory Factors</w:t>
      </w:r>
    </w:p>
    <w:p>
      <w:r>
        <w:rPr>
          <w:rFonts w:ascii="Calibri" w:hAnsi="Calibri"/>
          <w:sz w:val="24"/>
        </w:rPr>
        <w:t>The solution must adhere to the following regulatory and compliance requirements.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SOC 2 Type II compliance for platform security controls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Data encryption at rest (AES-256) and in transit (TLS 1.2+)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Audit logging for all administrative and pipeline activities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GDPR compliance for data handling where applicable</w:t>
      </w:r>
    </w:p>
    <w:p>
      <w:pPr>
        <w:pStyle w:val="Heading2"/>
        <w:spacing w:before="240" w:after="120"/>
        <w:ind w:left="0"/>
      </w:pPr>
      <w:r>
        <w:t>2.4 Success Criteria</w:t>
      </w:r>
    </w:p>
    <w:p>
      <w:r>
        <w:rPr>
          <w:rFonts w:ascii="Calibri" w:hAnsi="Calibri"/>
          <w:sz w:val="24"/>
        </w:rPr>
        <w:t>Project success will be measured against the following criteria at go-live.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Deployment frequency increased to daily releases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Lead time from commit to production &lt; 4 hours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Change failure rate &lt; 5%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Mean time to recovery &lt; 1 hour</w:t>
      </w:r>
    </w:p>
    <w:p>
      <w:pPr>
        <w:pStyle w:val="Heading1"/>
        <w:spacing w:before="160" w:after="120"/>
        <w:ind w:left="0"/>
      </w:pPr>
      <w:r>
        <w:t>3 Current-State Assessment</w:t>
      </w:r>
    </w:p>
    <w:p>
      <w:r>
        <w:rPr>
          <w:rFonts w:ascii="Calibri" w:hAnsi="Calibri"/>
          <w:sz w:val="24"/>
        </w:rPr>
        <w:t>This section documents the existing development environment and identifies gaps addressed by the solution.</w:t>
      </w:r>
    </w:p>
    <w:p>
      <w:pPr>
        <w:pStyle w:val="Heading2"/>
        <w:spacing w:before="240" w:after="120"/>
        <w:ind w:left="0"/>
      </w:pPr>
      <w:r>
        <w:t>3.1 Existing Development Tools</w:t>
      </w:r>
    </w:p>
    <w:p>
      <w:pPr>
        <w:pStyle w:val="Heading3"/>
        <w:spacing w:before="160" w:after="120"/>
        <w:ind w:left="0"/>
      </w:pPr>
      <w:r>
        <w:t>3.1.1 N/A - Platform Modernization</w:t>
      </w:r>
    </w:p>
    <w:p>
      <w:r>
        <w:rPr>
          <w:rFonts w:ascii="Calibri" w:hAnsi="Calibri"/>
          <w:sz w:val="24"/>
        </w:rPr>
        <w:t>This implementation represents a modernization of existing development practices. Current tooling to be migrated: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Source control: Migration from existing repositories to Azure Repos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Build systems: Conversion to Azure Pipelines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Artifact management: Consolidation to Azure Artifacts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Project tracking: Integration with Azure Boards</w:t>
      </w:r>
    </w:p>
    <w:p>
      <w:pPr>
        <w:pStyle w:val="Heading2"/>
        <w:spacing w:before="240" w:after="120"/>
        <w:ind w:left="0"/>
      </w:pPr>
      <w:r>
        <w:t>3.2 Gap Analysis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3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  <w:vAlign w:val="center"/>
            <w:shd w:fill="E8F0F8"/>
          </w:tcPr>
          <w:p>
            <w:pPr>
              <w:spacing w:before="120" w:after="120"/>
              <w:jc w:val="center"/>
            </w:pPr>
            <w:r>
              <w:rPr>
                <w:rFonts w:ascii="Calibri" w:hAnsi="Calibri"/>
                <w:b/>
                <w:sz w:val="24"/>
              </w:rPr>
              <w:t>Capability</w:t>
            </w:r>
          </w:p>
        </w:tc>
        <w:tc>
          <w:tcPr>
            <w:tcW w:type="dxa" w:w="327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  <w:vAlign w:val="center"/>
            <w:shd w:fill="E8F0F8"/>
          </w:tcPr>
          <w:p>
            <w:pPr>
              <w:spacing w:before="120" w:after="120"/>
              <w:jc w:val="center"/>
            </w:pPr>
            <w:r>
              <w:rPr>
                <w:rFonts w:ascii="Calibri" w:hAnsi="Calibri"/>
                <w:b/>
                <w:sz w:val="24"/>
              </w:rPr>
              <w:t>Current State</w:t>
            </w:r>
          </w:p>
        </w:tc>
        <w:tc>
          <w:tcPr>
            <w:tcW w:type="dxa" w:w="374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  <w:vAlign w:val="center"/>
            <w:shd w:fill="E8F0F8"/>
          </w:tcPr>
          <w:p>
            <w:pPr>
              <w:spacing w:before="120" w:after="120"/>
              <w:jc w:val="center"/>
            </w:pPr>
            <w:r>
              <w:rPr>
                <w:rFonts w:ascii="Calibri" w:hAnsi="Calibri"/>
                <w:b/>
                <w:sz w:val="24"/>
              </w:rPr>
              <w:t>Target State</w:t>
            </w:r>
          </w:p>
        </w:tc>
      </w:tr>
      <w:tr>
        <w:tc>
          <w:tcPr>
            <w:tcW w:type="dxa" w:w="23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Deployment</w:t>
            </w:r>
          </w:p>
        </w:tc>
        <w:tc>
          <w:tcPr>
            <w:tcW w:type="dxa" w:w="327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Manual, 4+ hours</w:t>
            </w:r>
          </w:p>
        </w:tc>
        <w:tc>
          <w:tcPr>
            <w:tcW w:type="dxa" w:w="374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Automated, &lt; 5 minutes</w:t>
            </w:r>
          </w:p>
        </w:tc>
      </w:tr>
      <w:tr>
        <w:tc>
          <w:tcPr>
            <w:tcW w:type="dxa" w:w="23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Build</w:t>
            </w:r>
          </w:p>
        </w:tc>
        <w:tc>
          <w:tcPr>
            <w:tcW w:type="dxa" w:w="327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Single-threaded, slow</w:t>
            </w:r>
          </w:p>
        </w:tc>
        <w:tc>
          <w:tcPr>
            <w:tcW w:type="dxa" w:w="374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Parallel, optimized</w:t>
            </w:r>
          </w:p>
        </w:tc>
      </w:tr>
      <w:tr>
        <w:tc>
          <w:tcPr>
            <w:tcW w:type="dxa" w:w="23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Testing</w:t>
            </w:r>
          </w:p>
        </w:tc>
        <w:tc>
          <w:tcPr>
            <w:tcW w:type="dxa" w:w="327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Manual, inconsistent</w:t>
            </w:r>
          </w:p>
        </w:tc>
        <w:tc>
          <w:tcPr>
            <w:tcW w:type="dxa" w:w="374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Automated, comprehensive</w:t>
            </w:r>
          </w:p>
        </w:tc>
      </w:tr>
      <w:tr>
        <w:tc>
          <w:tcPr>
            <w:tcW w:type="dxa" w:w="23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Security</w:t>
            </w:r>
          </w:p>
        </w:tc>
        <w:tc>
          <w:tcPr>
            <w:tcW w:type="dxa" w:w="327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Ad-hoc scanning</w:t>
            </w:r>
          </w:p>
        </w:tc>
        <w:tc>
          <w:tcPr>
            <w:tcW w:type="dxa" w:w="374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Integrated DevSecOps</w:t>
            </w:r>
          </w:p>
        </w:tc>
      </w:tr>
      <w:tr>
        <w:tc>
          <w:tcPr>
            <w:tcW w:type="dxa" w:w="23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Monitoring</w:t>
            </w:r>
          </w:p>
        </w:tc>
        <w:tc>
          <w:tcPr>
            <w:tcW w:type="dxa" w:w="327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Limited visibility</w:t>
            </w:r>
          </w:p>
        </w:tc>
        <w:tc>
          <w:tcPr>
            <w:tcW w:type="dxa" w:w="374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Full observability</w:t>
            </w:r>
          </w:p>
        </w:tc>
      </w:tr>
    </w:tbl>
    <w:p>
      <w:pPr>
        <w:pStyle w:val="Caption"/>
        <w:spacing w:before="60" w:after="240"/>
        <w:jc w:val="center"/>
      </w:pPr>
      <w:r>
        <w:rPr>
          <w:rFonts w:ascii="Calibri" w:hAnsi="Calibri"/>
          <w:sz w:val="20"/>
        </w:rPr>
        <w:t xml:space="preserve">Table </w:t>
      </w:r>
      <w:r>
        <w:fldChar w:fldCharType="begin"/>
      </w:r>
      <w:r>
        <w:instrText xml:space="preserve"> SEQ Table \* ARABIC </w:instrText>
      </w:r>
      <w:r>
        <w:fldChar w:fldCharType="separate"/>
      </w:r>
      <w:r>
        <w:rPr>
          <w:rFonts w:ascii="Calibri" w:hAnsi="Calibri"/>
          <w:sz w:val="20"/>
        </w:rPr>
        <w:t>2</w:t>
      </w:r>
      <w:r>
        <w:fldChar w:fldCharType="end"/>
      </w:r>
      <w:r>
        <w:rPr>
          <w:rFonts w:ascii="Calibri" w:hAnsi="Calibri"/>
          <w:sz w:val="20"/>
        </w:rPr>
        <w:t>: Gap Analysis</w:t>
      </w:r>
    </w:p>
    <w:p>
      <w:pPr>
        <w:pStyle w:val="Heading1"/>
        <w:spacing w:before="160" w:after="120"/>
        <w:ind w:left="0"/>
      </w:pPr>
      <w:r>
        <w:t>4 Solution Architecture</w:t>
      </w:r>
    </w:p>
    <w:p>
      <w:r>
        <w:rPr>
          <w:rFonts w:ascii="Calibri" w:hAnsi="Calibri"/>
          <w:sz w:val="24"/>
        </w:rPr>
        <w:t>This section provides the comprehensive technical architecture for the Azure DevOps Enterprise Platform.</w:t>
      </w:r>
    </w:p>
    <w:p>
      <w:pPr>
        <w:pStyle w:val="Heading2"/>
        <w:spacing w:before="240" w:after="120"/>
        <w:ind w:left="0"/>
      </w:pPr>
      <w:r>
        <w:t>4.1 Architecture Diagram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blBorders>
      </w:tblPr>
      <w:tblGrid>
        <w:gridCol w:w="8640"/>
      </w:tblGrid>
      <w:tr>
        <w:tc>
          <w:tcPr>
            <w:tcW w:type="dxa" w:w="8640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029200" cy="3143250"/>
                  <wp:docPr id="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architecture-diagram.pn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29200" cy="31432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pStyle w:val="Caption"/>
        <w:spacing w:before="60" w:after="240"/>
        <w:jc w:val="center"/>
      </w:pPr>
      <w:r>
        <w:rPr>
          <w:rFonts w:ascii="Calibri" w:hAnsi="Calibri"/>
          <w:sz w:val="20"/>
        </w:rPr>
        <w:t xml:space="preserve">Figure </w:t>
      </w:r>
      <w:r>
        <w:fldChar w:fldCharType="begin"/>
      </w:r>
      <w:r>
        <w:instrText xml:space="preserve"> SEQ Figure \* ARABIC </w:instrText>
      </w:r>
      <w:r>
        <w:fldChar w:fldCharType="separate"/>
      </w:r>
      <w:r>
        <w:rPr>
          <w:rFonts w:ascii="Calibri" w:hAnsi="Calibri"/>
          <w:sz w:val="20"/>
        </w:rPr>
        <w:t>1</w:t>
      </w:r>
      <w:r>
        <w:fldChar w:fldCharType="end"/>
      </w:r>
      <w:r>
        <w:rPr>
          <w:rFonts w:ascii="Calibri" w:hAnsi="Calibri"/>
          <w:sz w:val="20"/>
        </w:rPr>
        <w:t>: Solution Architecture</w:t>
      </w:r>
    </w:p>
    <w:p>
      <w:pPr>
        <w:pStyle w:val="Heading2"/>
        <w:spacing w:before="240" w:after="120"/>
        <w:ind w:left="0"/>
      </w:pPr>
      <w:r>
        <w:t>4.2 Design Principles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b/>
          <w:sz w:val="24"/>
        </w:rPr>
        <w:t>Security First:</w:t>
      </w:r>
      <w:r>
        <w:rPr>
          <w:rFonts w:ascii="Calibri" w:hAnsi="Calibri"/>
          <w:sz w:val="24"/>
        </w:rPr>
        <w:t xml:space="preserve"> Defense-in-depth security architecture with DevSecOps integration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b/>
          <w:sz w:val="24"/>
        </w:rPr>
        <w:t>Scalability:</w:t>
      </w:r>
      <w:r>
        <w:rPr>
          <w:rFonts w:ascii="Calibri" w:hAnsi="Calibri"/>
          <w:sz w:val="24"/>
        </w:rPr>
        <w:t xml:space="preserve"> Horizontal and vertical scaling for build and deployment workloads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b/>
          <w:sz w:val="24"/>
        </w:rPr>
        <w:t>Reliability:</w:t>
      </w:r>
      <w:r>
        <w:rPr>
          <w:rFonts w:ascii="Calibri" w:hAnsi="Calibri"/>
          <w:sz w:val="24"/>
        </w:rPr>
        <w:t xml:space="preserve"> High availability with 99.9% SLA target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b/>
          <w:sz w:val="24"/>
        </w:rPr>
        <w:t>Performance:</w:t>
      </w:r>
      <w:r>
        <w:rPr>
          <w:rFonts w:ascii="Calibri" w:hAnsi="Calibri"/>
          <w:sz w:val="24"/>
        </w:rPr>
        <w:t xml:space="preserve"> Optimized for fast builds and deployments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b/>
          <w:sz w:val="24"/>
        </w:rPr>
        <w:t>Compliance:</w:t>
      </w:r>
      <w:r>
        <w:rPr>
          <w:rFonts w:ascii="Calibri" w:hAnsi="Calibri"/>
          <w:sz w:val="24"/>
        </w:rPr>
        <w:t xml:space="preserve"> Built-in compliance controls and audit capabilities</w:t>
      </w:r>
    </w:p>
    <w:p>
      <w:pPr>
        <w:pStyle w:val="Heading2"/>
        <w:spacing w:before="240" w:after="120"/>
        <w:ind w:left="0"/>
      </w:pPr>
      <w:r>
        <w:t>4.3 Core Components</w:t>
      </w:r>
    </w:p>
    <w:p>
      <w:pPr>
        <w:pStyle w:val="Heading3"/>
        <w:spacing w:before="160" w:after="120"/>
        <w:ind w:left="0"/>
      </w:pPr>
      <w:r>
        <w:t>4.3.1 Azure DevOps Services</w:t>
      </w:r>
    </w:p>
    <w:p>
      <w:r>
        <w:rPr>
          <w:rFonts w:ascii="Calibri" w:hAnsi="Calibri"/>
          <w:sz w:val="24"/>
        </w:rPr>
        <w:t>Primary DevOps platform providing: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b/>
          <w:sz w:val="24"/>
        </w:rPr>
        <w:t>Azure Repos:</w:t>
      </w:r>
      <w:r>
        <w:rPr>
          <w:rFonts w:ascii="Calibri" w:hAnsi="Calibri"/>
          <w:sz w:val="24"/>
        </w:rPr>
        <w:t xml:space="preserve"> Git repositories with advanced branching strategies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b/>
          <w:sz w:val="24"/>
        </w:rPr>
        <w:t>Azure Pipelines:</w:t>
      </w:r>
      <w:r>
        <w:rPr>
          <w:rFonts w:ascii="Calibri" w:hAnsi="Calibri"/>
          <w:sz w:val="24"/>
        </w:rPr>
        <w:t xml:space="preserve"> CI/CD automation with YAML-based definitions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b/>
          <w:sz w:val="24"/>
        </w:rPr>
        <w:t>Azure Boards:</w:t>
      </w:r>
      <w:r>
        <w:rPr>
          <w:rFonts w:ascii="Calibri" w:hAnsi="Calibri"/>
          <w:sz w:val="24"/>
        </w:rPr>
        <w:t xml:space="preserve"> Agile project management and work item tracking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b/>
          <w:sz w:val="24"/>
        </w:rPr>
        <w:t>Azure Test Plans:</w:t>
      </w:r>
      <w:r>
        <w:rPr>
          <w:rFonts w:ascii="Calibri" w:hAnsi="Calibri"/>
          <w:sz w:val="24"/>
        </w:rPr>
        <w:t xml:space="preserve"> Comprehensive test management and execution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b/>
          <w:sz w:val="24"/>
        </w:rPr>
        <w:t>Azure Artifacts:</w:t>
      </w:r>
      <w:r>
        <w:rPr>
          <w:rFonts w:ascii="Calibri" w:hAnsi="Calibri"/>
          <w:sz w:val="24"/>
        </w:rPr>
        <w:t xml:space="preserve"> Package management and artifact storage</w:t>
      </w:r>
    </w:p>
    <w:p>
      <w:pPr>
        <w:pStyle w:val="Heading3"/>
        <w:spacing w:before="160" w:after="120"/>
        <w:ind w:left="0"/>
      </w:pPr>
      <w:r>
        <w:t>4.3.2 Supporting Azure Services</w:t>
      </w:r>
    </w:p>
    <w:p>
      <w:r>
        <w:rPr>
          <w:rFonts w:ascii="Calibri" w:hAnsi="Calibri"/>
          <w:sz w:val="24"/>
        </w:rPr>
        <w:t>Infrastructure services providing: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b/>
          <w:sz w:val="24"/>
        </w:rPr>
        <w:t>Azure Container Registry:</w:t>
      </w:r>
      <w:r>
        <w:rPr>
          <w:rFonts w:ascii="Calibri" w:hAnsi="Calibri"/>
          <w:sz w:val="24"/>
        </w:rPr>
        <w:t xml:space="preserve"> Container image storage and security scanning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b/>
          <w:sz w:val="24"/>
        </w:rPr>
        <w:t>Azure Kubernetes Service:</w:t>
      </w:r>
      <w:r>
        <w:rPr>
          <w:rFonts w:ascii="Calibri" w:hAnsi="Calibri"/>
          <w:sz w:val="24"/>
        </w:rPr>
        <w:t xml:space="preserve"> Container orchestration platform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b/>
          <w:sz w:val="24"/>
        </w:rPr>
        <w:t>Azure Key Vault:</w:t>
      </w:r>
      <w:r>
        <w:rPr>
          <w:rFonts w:ascii="Calibri" w:hAnsi="Calibri"/>
          <w:sz w:val="24"/>
        </w:rPr>
        <w:t xml:space="preserve"> Secrets and certificate management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b/>
          <w:sz w:val="24"/>
        </w:rPr>
        <w:t>Azure Application Insights:</w:t>
      </w:r>
      <w:r>
        <w:rPr>
          <w:rFonts w:ascii="Calibri" w:hAnsi="Calibri"/>
          <w:sz w:val="24"/>
        </w:rPr>
        <w:t xml:space="preserve"> Application performance monitoring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b/>
          <w:sz w:val="24"/>
        </w:rPr>
        <w:t>Azure Log Analytics:</w:t>
      </w:r>
      <w:r>
        <w:rPr>
          <w:rFonts w:ascii="Calibri" w:hAnsi="Calibri"/>
          <w:sz w:val="24"/>
        </w:rPr>
        <w:t xml:space="preserve"> Centralized logging and analytics</w:t>
      </w:r>
    </w:p>
    <w:p>
      <w:pPr>
        <w:pStyle w:val="Heading3"/>
        <w:spacing w:before="160" w:after="120"/>
        <w:ind w:left="0"/>
      </w:pPr>
      <w:r>
        <w:t>4.3.3 Integration Components</w:t>
      </w:r>
    </w:p>
    <w:p>
      <w:r>
        <w:rPr>
          <w:rFonts w:ascii="Calibri" w:hAnsi="Calibri"/>
          <w:sz w:val="24"/>
        </w:rPr>
        <w:t>Platform integration through: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b/>
          <w:sz w:val="24"/>
        </w:rPr>
        <w:t>Service Connections:</w:t>
      </w:r>
      <w:r>
        <w:rPr>
          <w:rFonts w:ascii="Calibri" w:hAnsi="Calibri"/>
          <w:sz w:val="24"/>
        </w:rPr>
        <w:t xml:space="preserve"> Secure connections to Azure subscriptions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b/>
          <w:sz w:val="24"/>
        </w:rPr>
        <w:t>Variable Groups:</w:t>
      </w:r>
      <w:r>
        <w:rPr>
          <w:rFonts w:ascii="Calibri" w:hAnsi="Calibri"/>
          <w:sz w:val="24"/>
        </w:rPr>
        <w:t xml:space="preserve"> Centralized configuration management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b/>
          <w:sz w:val="24"/>
        </w:rPr>
        <w:t>Environments:</w:t>
      </w:r>
      <w:r>
        <w:rPr>
          <w:rFonts w:ascii="Calibri" w:hAnsi="Calibri"/>
          <w:sz w:val="24"/>
        </w:rPr>
        <w:t xml:space="preserve"> Deployment target management with approvals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b/>
          <w:sz w:val="24"/>
        </w:rPr>
        <w:t>Extensions:</w:t>
      </w:r>
      <w:r>
        <w:rPr>
          <w:rFonts w:ascii="Calibri" w:hAnsi="Calibri"/>
          <w:sz w:val="24"/>
        </w:rPr>
        <w:t xml:space="preserve"> Third-party integrations (SonarCloud, WhiteSource)</w:t>
      </w:r>
    </w:p>
    <w:p>
      <w:pPr>
        <w:pStyle w:val="Heading1"/>
        <w:spacing w:before="160" w:after="120"/>
        <w:ind w:left="0"/>
      </w:pPr>
      <w:r>
        <w:t>5 Security &amp; Compliance</w:t>
      </w:r>
    </w:p>
    <w:p>
      <w:r>
        <w:rPr>
          <w:rFonts w:ascii="Calibri" w:hAnsi="Calibri"/>
          <w:sz w:val="24"/>
        </w:rPr>
        <w:t>This section details the security controls and compliance implementation.</w:t>
      </w:r>
    </w:p>
    <w:p>
      <w:pPr>
        <w:pStyle w:val="Heading2"/>
        <w:spacing w:before="240" w:after="120"/>
        <w:ind w:left="0"/>
      </w:pPr>
      <w:r>
        <w:t>5.1 Identity &amp; Access Management</w:t>
      </w:r>
    </w:p>
    <w:p>
      <w:pPr>
        <w:pStyle w:val="Heading3"/>
        <w:spacing w:before="160" w:after="120"/>
        <w:ind w:left="0"/>
      </w:pPr>
      <w:r>
        <w:t>5.1.1 RBAC Configuration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3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  <w:vAlign w:val="center"/>
            <w:shd w:fill="E8F0F8"/>
          </w:tcPr>
          <w:p>
            <w:pPr>
              <w:spacing w:before="120" w:after="120"/>
              <w:jc w:val="center"/>
            </w:pPr>
            <w:r>
              <w:rPr>
                <w:rFonts w:ascii="Calibri" w:hAnsi="Calibri"/>
                <w:b/>
                <w:sz w:val="24"/>
              </w:rPr>
              <w:t>Role</w:t>
            </w:r>
          </w:p>
        </w:tc>
        <w:tc>
          <w:tcPr>
            <w:tcW w:type="dxa" w:w="327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  <w:vAlign w:val="center"/>
            <w:shd w:fill="E8F0F8"/>
          </w:tcPr>
          <w:p>
            <w:pPr>
              <w:spacing w:before="120" w:after="120"/>
              <w:jc w:val="center"/>
            </w:pPr>
            <w:r>
              <w:rPr>
                <w:rFonts w:ascii="Calibri" w:hAnsi="Calibri"/>
                <w:b/>
                <w:sz w:val="24"/>
              </w:rPr>
              <w:t>Permissions</w:t>
            </w:r>
          </w:p>
        </w:tc>
        <w:tc>
          <w:tcPr>
            <w:tcW w:type="dxa" w:w="374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  <w:vAlign w:val="center"/>
            <w:shd w:fill="E8F0F8"/>
          </w:tcPr>
          <w:p>
            <w:pPr>
              <w:spacing w:before="120" w:after="120"/>
              <w:jc w:val="center"/>
            </w:pPr>
            <w:r>
              <w:rPr>
                <w:rFonts w:ascii="Calibri" w:hAnsi="Calibri"/>
                <w:b/>
                <w:sz w:val="24"/>
              </w:rPr>
              <w:t>Assignment</w:t>
            </w:r>
          </w:p>
        </w:tc>
      </w:tr>
      <w:tr>
        <w:tc>
          <w:tcPr>
            <w:tcW w:type="dxa" w:w="23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Project Collection Admin</w:t>
            </w:r>
          </w:p>
        </w:tc>
        <w:tc>
          <w:tcPr>
            <w:tcW w:type="dxa" w:w="327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Full organization access</w:t>
            </w:r>
          </w:p>
        </w:tc>
        <w:tc>
          <w:tcPr>
            <w:tcW w:type="dxa" w:w="374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Platform Admins</w:t>
            </w:r>
          </w:p>
        </w:tc>
      </w:tr>
      <w:tr>
        <w:tc>
          <w:tcPr>
            <w:tcW w:type="dxa" w:w="23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Project Admin</w:t>
            </w:r>
          </w:p>
        </w:tc>
        <w:tc>
          <w:tcPr>
            <w:tcW w:type="dxa" w:w="327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Project-level management</w:t>
            </w:r>
          </w:p>
        </w:tc>
        <w:tc>
          <w:tcPr>
            <w:tcW w:type="dxa" w:w="374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Team Leads</w:t>
            </w:r>
          </w:p>
        </w:tc>
      </w:tr>
      <w:tr>
        <w:tc>
          <w:tcPr>
            <w:tcW w:type="dxa" w:w="23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Contributors</w:t>
            </w:r>
          </w:p>
        </w:tc>
        <w:tc>
          <w:tcPr>
            <w:tcW w:type="dxa" w:w="327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Code and pipeline access</w:t>
            </w:r>
          </w:p>
        </w:tc>
        <w:tc>
          <w:tcPr>
            <w:tcW w:type="dxa" w:w="374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Developers</w:t>
            </w:r>
          </w:p>
        </w:tc>
      </w:tr>
      <w:tr>
        <w:tc>
          <w:tcPr>
            <w:tcW w:type="dxa" w:w="23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Readers</w:t>
            </w:r>
          </w:p>
        </w:tc>
        <w:tc>
          <w:tcPr>
            <w:tcW w:type="dxa" w:w="327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Read-only access</w:t>
            </w:r>
          </w:p>
        </w:tc>
        <w:tc>
          <w:tcPr>
            <w:tcW w:type="dxa" w:w="374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Stakeholders</w:t>
            </w:r>
          </w:p>
        </w:tc>
      </w:tr>
    </w:tbl>
    <w:p>
      <w:pPr>
        <w:pStyle w:val="Caption"/>
        <w:spacing w:before="60" w:after="240"/>
        <w:jc w:val="center"/>
      </w:pPr>
      <w:r>
        <w:rPr>
          <w:rFonts w:ascii="Calibri" w:hAnsi="Calibri"/>
          <w:sz w:val="20"/>
        </w:rPr>
        <w:t xml:space="preserve">Table </w:t>
      </w:r>
      <w:r>
        <w:fldChar w:fldCharType="begin"/>
      </w:r>
      <w:r>
        <w:instrText xml:space="preserve"> SEQ Table \* ARABIC </w:instrText>
      </w:r>
      <w:r>
        <w:fldChar w:fldCharType="separate"/>
      </w:r>
      <w:r>
        <w:rPr>
          <w:rFonts w:ascii="Calibri" w:hAnsi="Calibri"/>
          <w:sz w:val="20"/>
        </w:rPr>
        <w:t>3</w:t>
      </w:r>
      <w:r>
        <w:fldChar w:fldCharType="end"/>
      </w:r>
      <w:r>
        <w:rPr>
          <w:rFonts w:ascii="Calibri" w:hAnsi="Calibri"/>
          <w:sz w:val="20"/>
        </w:rPr>
        <w:t>: Role Permissions</w:t>
      </w:r>
    </w:p>
    <w:p>
      <w:pPr>
        <w:pStyle w:val="Heading3"/>
        <w:spacing w:before="160" w:after="120"/>
        <w:ind w:left="0"/>
      </w:pPr>
      <w:r>
        <w:t>5.1.2 Privileged Access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Azure AD integration with SSO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Multi-factor authentication enforcement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Conditional Access policies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Just-in-time access for elevated permissions</w:t>
      </w:r>
    </w:p>
    <w:p>
      <w:pPr>
        <w:pStyle w:val="Heading2"/>
        <w:spacing w:before="240" w:after="120"/>
        <w:ind w:left="0"/>
      </w:pPr>
      <w:r>
        <w:t>5.2 DevSecOps Integration</w:t>
      </w:r>
    </w:p>
    <w:p>
      <w:pPr>
        <w:pStyle w:val="Heading3"/>
        <w:spacing w:before="160" w:after="120"/>
        <w:ind w:left="0"/>
      </w:pPr>
      <w:r>
        <w:t>5.2.1 Security Scanning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b/>
          <w:sz w:val="24"/>
        </w:rPr>
        <w:t>SAST:</w:t>
      </w:r>
      <w:r>
        <w:rPr>
          <w:rFonts w:ascii="Calibri" w:hAnsi="Calibri"/>
          <w:sz w:val="24"/>
        </w:rPr>
        <w:t xml:space="preserve"> SonarCloud integration for static code analysis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b/>
          <w:sz w:val="24"/>
        </w:rPr>
        <w:t>DAST:</w:t>
      </w:r>
      <w:r>
        <w:rPr>
          <w:rFonts w:ascii="Calibri" w:hAnsi="Calibri"/>
          <w:sz w:val="24"/>
        </w:rPr>
        <w:t xml:space="preserve"> OWASP ZAP for dynamic security testing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b/>
          <w:sz w:val="24"/>
        </w:rPr>
        <w:t>SCA:</w:t>
      </w:r>
      <w:r>
        <w:rPr>
          <w:rFonts w:ascii="Calibri" w:hAnsi="Calibri"/>
          <w:sz w:val="24"/>
        </w:rPr>
        <w:t xml:space="preserve"> WhiteSource for dependency vulnerability scanning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b/>
          <w:sz w:val="24"/>
        </w:rPr>
        <w:t>Container Scanning:</w:t>
      </w:r>
      <w:r>
        <w:rPr>
          <w:rFonts w:ascii="Calibri" w:hAnsi="Calibri"/>
          <w:sz w:val="24"/>
        </w:rPr>
        <w:t xml:space="preserve"> Azure Security Center integration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b/>
          <w:sz w:val="24"/>
        </w:rPr>
        <w:t>IaC Scanning:</w:t>
      </w:r>
      <w:r>
        <w:rPr>
          <w:rFonts w:ascii="Calibri" w:hAnsi="Calibri"/>
          <w:sz w:val="24"/>
        </w:rPr>
        <w:t xml:space="preserve"> Terraform and ARM template security analysis</w:t>
      </w:r>
    </w:p>
    <w:p>
      <w:pPr>
        <w:pStyle w:val="Heading3"/>
        <w:spacing w:before="160" w:after="120"/>
        <w:ind w:left="0"/>
      </w:pPr>
      <w:r>
        <w:t>5.2.2 Compliance Framework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SOC 2 Type II: Security, availability, processing integrity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ISO 27001: Information security management controls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PCI DSS: Payment card security (where applicable)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GDPR: Data protection and privacy</w:t>
      </w:r>
    </w:p>
    <w:p>
      <w:pPr>
        <w:pStyle w:val="Heading1"/>
        <w:spacing w:before="160" w:after="120"/>
        <w:ind w:left="0"/>
      </w:pPr>
      <w:r>
        <w:t>6 Data Architecture</w:t>
      </w:r>
    </w:p>
    <w:p>
      <w:r>
        <w:rPr>
          <w:rFonts w:ascii="Calibri" w:hAnsi="Calibri"/>
          <w:sz w:val="24"/>
        </w:rPr>
        <w:t>This section documents the data flow, storage, and management design.</w:t>
      </w:r>
    </w:p>
    <w:p>
      <w:pPr>
        <w:pStyle w:val="Heading2"/>
        <w:spacing w:before="240" w:after="120"/>
        <w:ind w:left="0"/>
      </w:pPr>
      <w:r>
        <w:t>6.1 Data Flow Design</w:t>
      </w:r>
    </w:p>
    <w:p>
      <w:pPr>
        <w:pStyle w:val="Heading3"/>
        <w:spacing w:before="160" w:after="120"/>
        <w:ind w:left="0"/>
      </w:pPr>
      <w:r>
        <w:t>6.1.1 Development Workflow</w:t>
      </w:r>
    </w:p>
    <w:p>
      <w:pPr>
        <w:pStyle w:val="Heading3"/>
        <w:spacing w:before="160" w:after="120"/>
        <w:ind w:left="0"/>
      </w:pPr>
      <w:r>
        <w:t>6.1.2 Pipeline Data Flow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1. </w:t>
      </w:r>
      <w:r>
        <w:rPr>
          <w:rFonts w:ascii="Calibri" w:hAnsi="Calibri"/>
          <w:b/>
          <w:sz w:val="24"/>
        </w:rPr>
        <w:t>Code Commit:</w:t>
      </w:r>
      <w:r>
        <w:rPr>
          <w:rFonts w:ascii="Calibri" w:hAnsi="Calibri"/>
          <w:sz w:val="24"/>
        </w:rPr>
        <w:t xml:space="preserve"> Developers push to feature branches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2. </w:t>
      </w:r>
      <w:r>
        <w:rPr>
          <w:rFonts w:ascii="Calibri" w:hAnsi="Calibri"/>
          <w:b/>
          <w:sz w:val="24"/>
        </w:rPr>
        <w:t>PR Validation:</w:t>
      </w:r>
      <w:r>
        <w:rPr>
          <w:rFonts w:ascii="Calibri" w:hAnsi="Calibri"/>
          <w:sz w:val="24"/>
        </w:rPr>
        <w:t xml:space="preserve"> Automated builds and tests on pull requests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3. </w:t>
      </w:r>
      <w:r>
        <w:rPr>
          <w:rFonts w:ascii="Calibri" w:hAnsi="Calibri"/>
          <w:b/>
          <w:sz w:val="24"/>
        </w:rPr>
        <w:t>CI Pipeline:</w:t>
      </w:r>
      <w:r>
        <w:rPr>
          <w:rFonts w:ascii="Calibri" w:hAnsi="Calibri"/>
          <w:sz w:val="24"/>
        </w:rPr>
        <w:t xml:space="preserve"> Full build, test, and security scanning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4. </w:t>
      </w:r>
      <w:r>
        <w:rPr>
          <w:rFonts w:ascii="Calibri" w:hAnsi="Calibri"/>
          <w:b/>
          <w:sz w:val="24"/>
        </w:rPr>
        <w:t>Artifact Creation:</w:t>
      </w:r>
      <w:r>
        <w:rPr>
          <w:rFonts w:ascii="Calibri" w:hAnsi="Calibri"/>
          <w:sz w:val="24"/>
        </w:rPr>
        <w:t xml:space="preserve"> Packages stored in Azure Artifacts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5. </w:t>
      </w:r>
      <w:r>
        <w:rPr>
          <w:rFonts w:ascii="Calibri" w:hAnsi="Calibri"/>
          <w:b/>
          <w:sz w:val="24"/>
        </w:rPr>
        <w:t>CD Pipeline:</w:t>
      </w:r>
      <w:r>
        <w:rPr>
          <w:rFonts w:ascii="Calibri" w:hAnsi="Calibri"/>
          <w:sz w:val="24"/>
        </w:rPr>
        <w:t xml:space="preserve"> Multi-stage deployment with approvals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6. </w:t>
      </w:r>
      <w:r>
        <w:rPr>
          <w:rFonts w:ascii="Calibri" w:hAnsi="Calibri"/>
          <w:b/>
          <w:sz w:val="24"/>
        </w:rPr>
        <w:t>Production:</w:t>
      </w:r>
      <w:r>
        <w:rPr>
          <w:rFonts w:ascii="Calibri" w:hAnsi="Calibri"/>
          <w:sz w:val="24"/>
        </w:rPr>
        <w:t xml:space="preserve"> Monitoring and feedback loop</w:t>
      </w:r>
    </w:p>
    <w:p>
      <w:pPr>
        <w:pStyle w:val="Heading2"/>
        <w:spacing w:before="240" w:after="120"/>
        <w:ind w:left="0"/>
      </w:pPr>
      <w:r>
        <w:t>6.2 Artifact Management</w:t>
      </w:r>
    </w:p>
    <w:p>
      <w:pPr>
        <w:pStyle w:val="Heading3"/>
        <w:spacing w:before="160" w:after="120"/>
        <w:ind w:left="0"/>
      </w:pPr>
      <w:r>
        <w:t>6.2.1 Storage Tiers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187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  <w:vAlign w:val="center"/>
            <w:shd w:fill="E8F0F8"/>
          </w:tcPr>
          <w:p>
            <w:pPr>
              <w:spacing w:before="120" w:after="120"/>
              <w:jc w:val="center"/>
            </w:pPr>
            <w:r>
              <w:rPr>
                <w:rFonts w:ascii="Calibri" w:hAnsi="Calibri"/>
                <w:b/>
                <w:sz w:val="24"/>
              </w:rPr>
              <w:t>Tier</w:t>
            </w:r>
          </w:p>
        </w:tc>
        <w:tc>
          <w:tcPr>
            <w:tcW w:type="dxa" w:w="23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  <w:vAlign w:val="center"/>
            <w:shd w:fill="E8F0F8"/>
          </w:tcPr>
          <w:p>
            <w:pPr>
              <w:spacing w:before="120" w:after="120"/>
              <w:jc w:val="center"/>
            </w:pPr>
            <w:r>
              <w:rPr>
                <w:rFonts w:ascii="Calibri" w:hAnsi="Calibri"/>
                <w:b/>
                <w:sz w:val="24"/>
              </w:rPr>
              <w:t>Retention</w:t>
            </w:r>
          </w:p>
        </w:tc>
        <w:tc>
          <w:tcPr>
            <w:tcW w:type="dxa" w:w="280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  <w:vAlign w:val="center"/>
            <w:shd w:fill="E8F0F8"/>
          </w:tcPr>
          <w:p>
            <w:pPr>
              <w:spacing w:before="120" w:after="120"/>
              <w:jc w:val="center"/>
            </w:pPr>
            <w:r>
              <w:rPr>
                <w:rFonts w:ascii="Calibri" w:hAnsi="Calibri"/>
                <w:b/>
                <w:sz w:val="24"/>
              </w:rPr>
              <w:t>Use Case</w:t>
            </w:r>
          </w:p>
        </w:tc>
        <w:tc>
          <w:tcPr>
            <w:tcW w:type="dxa" w:w="23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  <w:vAlign w:val="center"/>
            <w:shd w:fill="E8F0F8"/>
          </w:tcPr>
          <w:p>
            <w:pPr>
              <w:spacing w:before="120" w:after="120"/>
              <w:jc w:val="center"/>
            </w:pPr>
            <w:r>
              <w:rPr>
                <w:rFonts w:ascii="Calibri" w:hAnsi="Calibri"/>
                <w:b/>
                <w:sz w:val="24"/>
              </w:rPr>
              <w:t>Storage</w:t>
            </w:r>
          </w:p>
        </w:tc>
      </w:tr>
      <w:tr>
        <w:tc>
          <w:tcPr>
            <w:tcW w:type="dxa" w:w="187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Build Artifacts</w:t>
            </w:r>
          </w:p>
        </w:tc>
        <w:tc>
          <w:tcPr>
            <w:tcW w:type="dxa" w:w="23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30 days</w:t>
            </w:r>
          </w:p>
        </w:tc>
        <w:tc>
          <w:tcPr>
            <w:tcW w:type="dxa" w:w="280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CI outputs</w:t>
            </w:r>
          </w:p>
        </w:tc>
        <w:tc>
          <w:tcPr>
            <w:tcW w:type="dxa" w:w="23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Azure Artifacts</w:t>
            </w:r>
          </w:p>
        </w:tc>
      </w:tr>
      <w:tr>
        <w:tc>
          <w:tcPr>
            <w:tcW w:type="dxa" w:w="187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Container Images</w:t>
            </w:r>
          </w:p>
        </w:tc>
        <w:tc>
          <w:tcPr>
            <w:tcW w:type="dxa" w:w="23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90 days</w:t>
            </w:r>
          </w:p>
        </w:tc>
        <w:tc>
          <w:tcPr>
            <w:tcW w:type="dxa" w:w="280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Docker images</w:t>
            </w:r>
          </w:p>
        </w:tc>
        <w:tc>
          <w:tcPr>
            <w:tcW w:type="dxa" w:w="23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ACR</w:t>
            </w:r>
          </w:p>
        </w:tc>
      </w:tr>
      <w:tr>
        <w:tc>
          <w:tcPr>
            <w:tcW w:type="dxa" w:w="187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Release Packages</w:t>
            </w:r>
          </w:p>
        </w:tc>
        <w:tc>
          <w:tcPr>
            <w:tcW w:type="dxa" w:w="23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1 year</w:t>
            </w:r>
          </w:p>
        </w:tc>
        <w:tc>
          <w:tcPr>
            <w:tcW w:type="dxa" w:w="280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Production releases</w:t>
            </w:r>
          </w:p>
        </w:tc>
        <w:tc>
          <w:tcPr>
            <w:tcW w:type="dxa" w:w="23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Azure Artifacts</w:t>
            </w:r>
          </w:p>
        </w:tc>
      </w:tr>
    </w:tbl>
    <w:p>
      <w:pPr>
        <w:pStyle w:val="Caption"/>
        <w:spacing w:before="60" w:after="240"/>
        <w:jc w:val="center"/>
      </w:pPr>
      <w:r>
        <w:rPr>
          <w:rFonts w:ascii="Calibri" w:hAnsi="Calibri"/>
          <w:sz w:val="20"/>
        </w:rPr>
        <w:t xml:space="preserve">Table </w:t>
      </w:r>
      <w:r>
        <w:fldChar w:fldCharType="begin"/>
      </w:r>
      <w:r>
        <w:instrText xml:space="preserve"> SEQ Table \* ARABIC </w:instrText>
      </w:r>
      <w:r>
        <w:fldChar w:fldCharType="separate"/>
      </w:r>
      <w:r>
        <w:rPr>
          <w:rFonts w:ascii="Calibri" w:hAnsi="Calibri"/>
          <w:sz w:val="20"/>
        </w:rPr>
        <w:t>4</w:t>
      </w:r>
      <w:r>
        <w:fldChar w:fldCharType="end"/>
      </w:r>
      <w:r>
        <w:rPr>
          <w:rFonts w:ascii="Calibri" w:hAnsi="Calibri"/>
          <w:sz w:val="20"/>
        </w:rPr>
        <w:t>: Tier</w:t>
      </w:r>
    </w:p>
    <w:p>
      <w:pPr>
        <w:pStyle w:val="Heading1"/>
        <w:spacing w:before="160" w:after="120"/>
        <w:ind w:left="0"/>
      </w:pPr>
      <w:r>
        <w:t>7 Integration Design</w:t>
      </w:r>
    </w:p>
    <w:p>
      <w:r>
        <w:rPr>
          <w:rFonts w:ascii="Calibri" w:hAnsi="Calibri"/>
          <w:sz w:val="24"/>
        </w:rPr>
        <w:t>This section documents external system integrations.</w:t>
      </w:r>
    </w:p>
    <w:p>
      <w:pPr>
        <w:pStyle w:val="Heading2"/>
        <w:spacing w:before="240" w:after="120"/>
        <w:ind w:left="0"/>
      </w:pPr>
      <w:r>
        <w:t>7.1 Tool Integrations</w:t>
      </w:r>
    </w:p>
    <w:p>
      <w:pPr>
        <w:pStyle w:val="Heading3"/>
        <w:spacing w:before="160" w:after="120"/>
        <w:ind w:left="0"/>
      </w:pPr>
      <w:r>
        <w:t>7.1.1 ITSM Integration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ServiceNow ticket creation from pipeline failures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Work item synchronization with Jira (if applicable)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Incident management integration</w:t>
      </w:r>
    </w:p>
    <w:p>
      <w:pPr>
        <w:pStyle w:val="Heading3"/>
        <w:spacing w:before="160" w:after="120"/>
        <w:ind w:left="0"/>
      </w:pPr>
      <w:r>
        <w:t>7.1.2 Communication Integration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Microsoft Teams notifications for builds/deployments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Slack integration for alerts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Email notifications for approvals</w:t>
      </w:r>
    </w:p>
    <w:p>
      <w:pPr>
        <w:pStyle w:val="Heading2"/>
        <w:spacing w:before="240" w:after="120"/>
        <w:ind w:left="0"/>
      </w:pPr>
      <w:r>
        <w:t>7.2 API Integration</w:t>
      </w:r>
    </w:p>
    <w:p>
      <w:pPr>
        <w:pStyle w:val="Heading3"/>
        <w:spacing w:before="160" w:after="120"/>
        <w:ind w:left="0"/>
      </w:pPr>
      <w:r>
        <w:t>7.2.1 Azure DevOps REST API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Custom integrations via REST API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Webhook support for external triggers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Extension marketplace integrations</w:t>
      </w:r>
    </w:p>
    <w:p>
      <w:pPr>
        <w:pStyle w:val="Heading1"/>
        <w:spacing w:before="160" w:after="120"/>
        <w:ind w:left="0"/>
      </w:pPr>
      <w:r>
        <w:t>8 Infrastructure &amp; Operations</w:t>
      </w:r>
    </w:p>
    <w:p>
      <w:r>
        <w:rPr>
          <w:rFonts w:ascii="Calibri" w:hAnsi="Calibri"/>
          <w:sz w:val="24"/>
        </w:rPr>
        <w:t>This section documents operational architecture and management procedures.</w:t>
      </w:r>
    </w:p>
    <w:p>
      <w:pPr>
        <w:pStyle w:val="Heading2"/>
        <w:spacing w:before="240" w:after="120"/>
        <w:ind w:left="0"/>
      </w:pPr>
      <w:r>
        <w:t>8.1 High Availability</w:t>
      </w:r>
    </w:p>
    <w:p>
      <w:pPr>
        <w:pStyle w:val="Heading3"/>
        <w:spacing w:before="160" w:after="120"/>
        <w:ind w:left="0"/>
      </w:pPr>
      <w:r>
        <w:t>8.1.1 Platform Resilience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Azure DevOps: 99.9% SLA (Microsoft-managed)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AKS: Zone-redundant control plane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ACR: Geo-replication enabled</w:t>
      </w:r>
    </w:p>
    <w:p>
      <w:pPr>
        <w:pStyle w:val="Heading3"/>
        <w:spacing w:before="160" w:after="120"/>
        <w:ind w:left="0"/>
      </w:pPr>
      <w:r>
        <w:t>8.1.2 Disaster Recovery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RTO Target: &lt; 4 hours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RPO Target: &lt; 1 hour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Automated backups with point-in-time recovery</w:t>
      </w:r>
    </w:p>
    <w:p>
      <w:pPr>
        <w:pStyle w:val="Heading2"/>
        <w:spacing w:before="240" w:after="120"/>
        <w:ind w:left="0"/>
      </w:pPr>
      <w:r>
        <w:t>8.2 Monitoring &amp; Alerting</w:t>
      </w:r>
    </w:p>
    <w:p>
      <w:pPr>
        <w:pStyle w:val="Heading3"/>
        <w:spacing w:before="160" w:after="120"/>
        <w:ind w:left="0"/>
      </w:pPr>
      <w:r>
        <w:t>8.2.1 Key Metrics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80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  <w:vAlign w:val="center"/>
            <w:shd w:fill="E8F0F8"/>
          </w:tcPr>
          <w:p>
            <w:pPr>
              <w:spacing w:before="120" w:after="120"/>
              <w:jc w:val="center"/>
            </w:pPr>
            <w:r>
              <w:rPr>
                <w:rFonts w:ascii="Calibri" w:hAnsi="Calibri"/>
                <w:b/>
                <w:sz w:val="24"/>
              </w:rPr>
              <w:t>Metric</w:t>
            </w:r>
          </w:p>
        </w:tc>
        <w:tc>
          <w:tcPr>
            <w:tcW w:type="dxa" w:w="23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  <w:vAlign w:val="center"/>
            <w:shd w:fill="E8F0F8"/>
          </w:tcPr>
          <w:p>
            <w:pPr>
              <w:spacing w:before="120" w:after="120"/>
              <w:jc w:val="center"/>
            </w:pPr>
            <w:r>
              <w:rPr>
                <w:rFonts w:ascii="Calibri" w:hAnsi="Calibri"/>
                <w:b/>
                <w:sz w:val="24"/>
              </w:rPr>
              <w:t>Threshold</w:t>
            </w:r>
          </w:p>
        </w:tc>
        <w:tc>
          <w:tcPr>
            <w:tcW w:type="dxa" w:w="23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  <w:vAlign w:val="center"/>
            <w:shd w:fill="E8F0F8"/>
          </w:tcPr>
          <w:p>
            <w:pPr>
              <w:spacing w:before="120" w:after="120"/>
              <w:jc w:val="center"/>
            </w:pPr>
            <w:r>
              <w:rPr>
                <w:rFonts w:ascii="Calibri" w:hAnsi="Calibri"/>
                <w:b/>
                <w:sz w:val="24"/>
              </w:rPr>
              <w:t>Alert Severity</w:t>
            </w:r>
          </w:p>
        </w:tc>
        <w:tc>
          <w:tcPr>
            <w:tcW w:type="dxa" w:w="187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  <w:vAlign w:val="center"/>
            <w:shd w:fill="E8F0F8"/>
          </w:tcPr>
          <w:p>
            <w:pPr>
              <w:spacing w:before="120" w:after="120"/>
              <w:jc w:val="center"/>
            </w:pPr>
            <w:r>
              <w:rPr>
                <w:rFonts w:ascii="Calibri" w:hAnsi="Calibri"/>
                <w:b/>
                <w:sz w:val="24"/>
              </w:rPr>
              <w:t>Response</w:t>
            </w:r>
          </w:p>
        </w:tc>
      </w:tr>
      <w:tr>
        <w:tc>
          <w:tcPr>
            <w:tcW w:type="dxa" w:w="280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Build Failures</w:t>
            </w:r>
          </w:p>
        </w:tc>
        <w:tc>
          <w:tcPr>
            <w:tcW w:type="dxa" w:w="23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&gt; 10%</w:t>
            </w:r>
          </w:p>
        </w:tc>
        <w:tc>
          <w:tcPr>
            <w:tcW w:type="dxa" w:w="23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Warning</w:t>
            </w:r>
          </w:p>
        </w:tc>
        <w:tc>
          <w:tcPr>
            <w:tcW w:type="dxa" w:w="187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Review pipeline</w:t>
            </w:r>
          </w:p>
        </w:tc>
      </w:tr>
      <w:tr>
        <w:tc>
          <w:tcPr>
            <w:tcW w:type="dxa" w:w="280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Queue Time</w:t>
            </w:r>
          </w:p>
        </w:tc>
        <w:tc>
          <w:tcPr>
            <w:tcW w:type="dxa" w:w="23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&gt; 5 minutes</w:t>
            </w:r>
          </w:p>
        </w:tc>
        <w:tc>
          <w:tcPr>
            <w:tcW w:type="dxa" w:w="23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Warning</w:t>
            </w:r>
          </w:p>
        </w:tc>
        <w:tc>
          <w:tcPr>
            <w:tcW w:type="dxa" w:w="187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Scale agents</w:t>
            </w:r>
          </w:p>
        </w:tc>
      </w:tr>
      <w:tr>
        <w:tc>
          <w:tcPr>
            <w:tcW w:type="dxa" w:w="280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Agent Offline</w:t>
            </w:r>
          </w:p>
        </w:tc>
        <w:tc>
          <w:tcPr>
            <w:tcW w:type="dxa" w:w="23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&gt; 50%</w:t>
            </w:r>
          </w:p>
        </w:tc>
        <w:tc>
          <w:tcPr>
            <w:tcW w:type="dxa" w:w="23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Critical</w:t>
            </w:r>
          </w:p>
        </w:tc>
        <w:tc>
          <w:tcPr>
            <w:tcW w:type="dxa" w:w="187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Investigate infrastructure</w:t>
            </w:r>
          </w:p>
        </w:tc>
      </w:tr>
      <w:tr>
        <w:tc>
          <w:tcPr>
            <w:tcW w:type="dxa" w:w="280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Deployment Failures</w:t>
            </w:r>
          </w:p>
        </w:tc>
        <w:tc>
          <w:tcPr>
            <w:tcW w:type="dxa" w:w="23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&gt; 5%</w:t>
            </w:r>
          </w:p>
        </w:tc>
        <w:tc>
          <w:tcPr>
            <w:tcW w:type="dxa" w:w="23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Critical</w:t>
            </w:r>
          </w:p>
        </w:tc>
        <w:tc>
          <w:tcPr>
            <w:tcW w:type="dxa" w:w="187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Review and rollback</w:t>
            </w:r>
          </w:p>
        </w:tc>
      </w:tr>
    </w:tbl>
    <w:p>
      <w:pPr>
        <w:pStyle w:val="Caption"/>
        <w:spacing w:before="60" w:after="240"/>
        <w:jc w:val="center"/>
      </w:pPr>
      <w:r>
        <w:rPr>
          <w:rFonts w:ascii="Calibri" w:hAnsi="Calibri"/>
          <w:sz w:val="20"/>
        </w:rPr>
        <w:t xml:space="preserve">Table </w:t>
      </w:r>
      <w:r>
        <w:fldChar w:fldCharType="begin"/>
      </w:r>
      <w:r>
        <w:instrText xml:space="preserve"> SEQ Table \* ARABIC </w:instrText>
      </w:r>
      <w:r>
        <w:fldChar w:fldCharType="separate"/>
      </w:r>
      <w:r>
        <w:rPr>
          <w:rFonts w:ascii="Calibri" w:hAnsi="Calibri"/>
          <w:sz w:val="20"/>
        </w:rPr>
        <w:t>5</w:t>
      </w:r>
      <w:r>
        <w:fldChar w:fldCharType="end"/>
      </w:r>
      <w:r>
        <w:rPr>
          <w:rFonts w:ascii="Calibri" w:hAnsi="Calibri"/>
          <w:sz w:val="20"/>
        </w:rPr>
        <w:t>: Monitoring Alerts</w:t>
      </w:r>
    </w:p>
    <w:p>
      <w:pPr>
        <w:pStyle w:val="Heading2"/>
        <w:spacing w:before="240" w:after="120"/>
        <w:ind w:left="0"/>
      </w:pPr>
      <w:r>
        <w:t>8.3 Capacity Planning</w:t>
      </w:r>
    </w:p>
    <w:p>
      <w:pPr>
        <w:pStyle w:val="Heading3"/>
        <w:spacing w:before="160" w:after="120"/>
        <w:ind w:left="0"/>
      </w:pPr>
      <w:r>
        <w:t>8.3.1 Current Sizing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Microsoft-hosted agents: 10 parallel jobs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Self-hosted agents: 5 parallel jobs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Projected growth: 20% annually</w:t>
      </w:r>
    </w:p>
    <w:p>
      <w:pPr>
        <w:pStyle w:val="Heading1"/>
        <w:spacing w:before="160" w:after="120"/>
        <w:ind w:left="0"/>
      </w:pPr>
      <w:r>
        <w:t>9 Implementation Approach</w:t>
      </w:r>
    </w:p>
    <w:p>
      <w:r>
        <w:rPr>
          <w:rFonts w:ascii="Calibri" w:hAnsi="Calibri"/>
          <w:sz w:val="24"/>
        </w:rPr>
        <w:t>This section outlines the phased implementation methodology.</w:t>
      </w:r>
    </w:p>
    <w:p>
      <w:pPr>
        <w:pStyle w:val="Heading2"/>
        <w:spacing w:before="240" w:after="120"/>
        <w:ind w:left="0"/>
      </w:pPr>
      <w:r>
        <w:t>9.1 Phase Overview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140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  <w:vAlign w:val="center"/>
            <w:shd w:fill="E8F0F8"/>
          </w:tcPr>
          <w:p>
            <w:pPr>
              <w:spacing w:before="120" w:after="120"/>
              <w:jc w:val="center"/>
            </w:pPr>
            <w:r>
              <w:rPr>
                <w:rFonts w:ascii="Calibri" w:hAnsi="Calibri"/>
                <w:b/>
                <w:sz w:val="24"/>
              </w:rPr>
              <w:t>Phase</w:t>
            </w:r>
          </w:p>
        </w:tc>
        <w:tc>
          <w:tcPr>
            <w:tcW w:type="dxa" w:w="280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  <w:vAlign w:val="center"/>
            <w:shd w:fill="E8F0F8"/>
          </w:tcPr>
          <w:p>
            <w:pPr>
              <w:spacing w:before="120" w:after="120"/>
              <w:jc w:val="center"/>
            </w:pPr>
            <w:r>
              <w:rPr>
                <w:rFonts w:ascii="Calibri" w:hAnsi="Calibri"/>
                <w:b/>
                <w:sz w:val="24"/>
              </w:rPr>
              <w:t>Activities</w:t>
            </w:r>
          </w:p>
        </w:tc>
        <w:tc>
          <w:tcPr>
            <w:tcW w:type="dxa" w:w="280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  <w:vAlign w:val="center"/>
            <w:shd w:fill="E8F0F8"/>
          </w:tcPr>
          <w:p>
            <w:pPr>
              <w:spacing w:before="120" w:after="120"/>
              <w:jc w:val="center"/>
            </w:pPr>
            <w:r>
              <w:rPr>
                <w:rFonts w:ascii="Calibri" w:hAnsi="Calibri"/>
                <w:b/>
                <w:sz w:val="24"/>
              </w:rPr>
              <w:t>Duration</w:t>
            </w:r>
          </w:p>
        </w:tc>
        <w:tc>
          <w:tcPr>
            <w:tcW w:type="dxa" w:w="23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  <w:vAlign w:val="center"/>
            <w:shd w:fill="E8F0F8"/>
          </w:tcPr>
          <w:p>
            <w:pPr>
              <w:spacing w:before="120" w:after="120"/>
              <w:jc w:val="center"/>
            </w:pPr>
            <w:r>
              <w:rPr>
                <w:rFonts w:ascii="Calibri" w:hAnsi="Calibri"/>
                <w:b/>
                <w:sz w:val="24"/>
              </w:rPr>
              <w:t>Exit Criteria</w:t>
            </w:r>
          </w:p>
        </w:tc>
      </w:tr>
      <w:tr>
        <w:tc>
          <w:tcPr>
            <w:tcW w:type="dxa" w:w="140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1</w:t>
            </w:r>
          </w:p>
        </w:tc>
        <w:tc>
          <w:tcPr>
            <w:tcW w:type="dxa" w:w="280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Foundation Setup</w:t>
            </w:r>
          </w:p>
        </w:tc>
        <w:tc>
          <w:tcPr>
            <w:tcW w:type="dxa" w:w="280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Weeks 1-4</w:t>
            </w:r>
          </w:p>
        </w:tc>
        <w:tc>
          <w:tcPr>
            <w:tcW w:type="dxa" w:w="23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Organization configured</w:t>
            </w:r>
          </w:p>
        </w:tc>
      </w:tr>
      <w:tr>
        <w:tc>
          <w:tcPr>
            <w:tcW w:type="dxa" w:w="140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2</w:t>
            </w:r>
          </w:p>
        </w:tc>
        <w:tc>
          <w:tcPr>
            <w:tcW w:type="dxa" w:w="280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Pipeline Framework</w:t>
            </w:r>
          </w:p>
        </w:tc>
        <w:tc>
          <w:tcPr>
            <w:tcW w:type="dxa" w:w="280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Weeks 5-8</w:t>
            </w:r>
          </w:p>
        </w:tc>
        <w:tc>
          <w:tcPr>
            <w:tcW w:type="dxa" w:w="23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CI/CD templates ready</w:t>
            </w:r>
          </w:p>
        </w:tc>
      </w:tr>
      <w:tr>
        <w:tc>
          <w:tcPr>
            <w:tcW w:type="dxa" w:w="140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3</w:t>
            </w:r>
          </w:p>
        </w:tc>
        <w:tc>
          <w:tcPr>
            <w:tcW w:type="dxa" w:w="280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Security Integration</w:t>
            </w:r>
          </w:p>
        </w:tc>
        <w:tc>
          <w:tcPr>
            <w:tcW w:type="dxa" w:w="280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Weeks 9-10</w:t>
            </w:r>
          </w:p>
        </w:tc>
        <w:tc>
          <w:tcPr>
            <w:tcW w:type="dxa" w:w="23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DevSecOps operational</w:t>
            </w:r>
          </w:p>
        </w:tc>
      </w:tr>
      <w:tr>
        <w:tc>
          <w:tcPr>
            <w:tcW w:type="dxa" w:w="140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4</w:t>
            </w:r>
          </w:p>
        </w:tc>
        <w:tc>
          <w:tcPr>
            <w:tcW w:type="dxa" w:w="280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Testing &amp; Validation</w:t>
            </w:r>
          </w:p>
        </w:tc>
        <w:tc>
          <w:tcPr>
            <w:tcW w:type="dxa" w:w="280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Weeks 11-12</w:t>
            </w:r>
          </w:p>
        </w:tc>
        <w:tc>
          <w:tcPr>
            <w:tcW w:type="dxa" w:w="23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All tests passing</w:t>
            </w:r>
          </w:p>
        </w:tc>
      </w:tr>
    </w:tbl>
    <w:p>
      <w:pPr>
        <w:pStyle w:val="Caption"/>
        <w:spacing w:before="60" w:after="240"/>
        <w:jc w:val="center"/>
      </w:pPr>
      <w:r>
        <w:rPr>
          <w:rFonts w:ascii="Calibri" w:hAnsi="Calibri"/>
          <w:sz w:val="20"/>
        </w:rPr>
        <w:t xml:space="preserve">Table </w:t>
      </w:r>
      <w:r>
        <w:fldChar w:fldCharType="begin"/>
      </w:r>
      <w:r>
        <w:instrText xml:space="preserve"> SEQ Table \* ARABIC </w:instrText>
      </w:r>
      <w:r>
        <w:fldChar w:fldCharType="separate"/>
      </w:r>
      <w:r>
        <w:rPr>
          <w:rFonts w:ascii="Calibri" w:hAnsi="Calibri"/>
          <w:sz w:val="20"/>
        </w:rPr>
        <w:t>6</w:t>
      </w:r>
      <w:r>
        <w:fldChar w:fldCharType="end"/>
      </w:r>
      <w:r>
        <w:rPr>
          <w:rFonts w:ascii="Calibri" w:hAnsi="Calibri"/>
          <w:sz w:val="20"/>
        </w:rPr>
        <w:t>: Implementation Phases</w:t>
      </w:r>
    </w:p>
    <w:p>
      <w:pPr>
        <w:pStyle w:val="Heading2"/>
        <w:spacing w:before="240" w:after="120"/>
        <w:ind w:left="0"/>
      </w:pPr>
      <w:r>
        <w:t>9.2 Risk Mitigation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3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  <w:vAlign w:val="center"/>
            <w:shd w:fill="E8F0F8"/>
          </w:tcPr>
          <w:p>
            <w:pPr>
              <w:spacing w:before="120" w:after="120"/>
              <w:jc w:val="center"/>
            </w:pPr>
            <w:r>
              <w:rPr>
                <w:rFonts w:ascii="Calibri" w:hAnsi="Calibri"/>
                <w:b/>
                <w:sz w:val="24"/>
              </w:rPr>
              <w:t>Risk</w:t>
            </w:r>
          </w:p>
        </w:tc>
        <w:tc>
          <w:tcPr>
            <w:tcW w:type="dxa" w:w="327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  <w:vAlign w:val="center"/>
            <w:shd w:fill="E8F0F8"/>
          </w:tcPr>
          <w:p>
            <w:pPr>
              <w:spacing w:before="120" w:after="120"/>
              <w:jc w:val="center"/>
            </w:pPr>
            <w:r>
              <w:rPr>
                <w:rFonts w:ascii="Calibri" w:hAnsi="Calibri"/>
                <w:b/>
                <w:sz w:val="24"/>
              </w:rPr>
              <w:t>Impact</w:t>
            </w:r>
          </w:p>
        </w:tc>
        <w:tc>
          <w:tcPr>
            <w:tcW w:type="dxa" w:w="374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  <w:vAlign w:val="center"/>
            <w:shd w:fill="E8F0F8"/>
          </w:tcPr>
          <w:p>
            <w:pPr>
              <w:spacing w:before="120" w:after="120"/>
              <w:jc w:val="center"/>
            </w:pPr>
            <w:r>
              <w:rPr>
                <w:rFonts w:ascii="Calibri" w:hAnsi="Calibri"/>
                <w:b/>
                <w:sz w:val="24"/>
              </w:rPr>
              <w:t>Mitigation</w:t>
            </w:r>
          </w:p>
        </w:tc>
      </w:tr>
      <w:tr>
        <w:tc>
          <w:tcPr>
            <w:tcW w:type="dxa" w:w="23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Migration delays</w:t>
            </w:r>
          </w:p>
        </w:tc>
        <w:tc>
          <w:tcPr>
            <w:tcW w:type="dxa" w:w="327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Schedule slip</w:t>
            </w:r>
          </w:p>
        </w:tc>
        <w:tc>
          <w:tcPr>
            <w:tcW w:type="dxa" w:w="374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Phased migration approach</w:t>
            </w:r>
          </w:p>
        </w:tc>
      </w:tr>
      <w:tr>
        <w:tc>
          <w:tcPr>
            <w:tcW w:type="dxa" w:w="23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User adoption</w:t>
            </w:r>
          </w:p>
        </w:tc>
        <w:tc>
          <w:tcPr>
            <w:tcW w:type="dxa" w:w="327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Low utilization</w:t>
            </w:r>
          </w:p>
        </w:tc>
        <w:tc>
          <w:tcPr>
            <w:tcW w:type="dxa" w:w="374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Comprehensive training</w:t>
            </w:r>
          </w:p>
        </w:tc>
      </w:tr>
      <w:tr>
        <w:tc>
          <w:tcPr>
            <w:tcW w:type="dxa" w:w="23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Security gaps</w:t>
            </w:r>
          </w:p>
        </w:tc>
        <w:tc>
          <w:tcPr>
            <w:tcW w:type="dxa" w:w="327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Compliance issues</w:t>
            </w:r>
          </w:p>
        </w:tc>
        <w:tc>
          <w:tcPr>
            <w:tcW w:type="dxa" w:w="374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DevSecOps integration</w:t>
            </w:r>
          </w:p>
        </w:tc>
      </w:tr>
      <w:tr>
        <w:tc>
          <w:tcPr>
            <w:tcW w:type="dxa" w:w="23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Performance issues</w:t>
            </w:r>
          </w:p>
        </w:tc>
        <w:tc>
          <w:tcPr>
            <w:tcW w:type="dxa" w:w="327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Developer friction</w:t>
            </w:r>
          </w:p>
        </w:tc>
        <w:tc>
          <w:tcPr>
            <w:tcW w:type="dxa" w:w="374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Capacity planning</w:t>
            </w:r>
          </w:p>
        </w:tc>
      </w:tr>
    </w:tbl>
    <w:p>
      <w:pPr>
        <w:pStyle w:val="Caption"/>
        <w:spacing w:before="60" w:after="240"/>
        <w:jc w:val="center"/>
      </w:pPr>
      <w:r>
        <w:rPr>
          <w:rFonts w:ascii="Calibri" w:hAnsi="Calibri"/>
          <w:sz w:val="20"/>
        </w:rPr>
        <w:t xml:space="preserve">Table </w:t>
      </w:r>
      <w:r>
        <w:fldChar w:fldCharType="begin"/>
      </w:r>
      <w:r>
        <w:instrText xml:space="preserve"> SEQ Table \* ARABIC </w:instrText>
      </w:r>
      <w:r>
        <w:fldChar w:fldCharType="separate"/>
      </w:r>
      <w:r>
        <w:rPr>
          <w:rFonts w:ascii="Calibri" w:hAnsi="Calibri"/>
          <w:sz w:val="20"/>
        </w:rPr>
        <w:t>7</w:t>
      </w:r>
      <w:r>
        <w:fldChar w:fldCharType="end"/>
      </w:r>
      <w:r>
        <w:rPr>
          <w:rFonts w:ascii="Calibri" w:hAnsi="Calibri"/>
          <w:sz w:val="20"/>
        </w:rPr>
        <w:t>: Risk Register</w:t>
      </w:r>
    </w:p>
    <w:p>
      <w:pPr>
        <w:pStyle w:val="Heading1"/>
        <w:spacing w:before="160" w:after="120"/>
        <w:ind w:left="0"/>
      </w:pPr>
      <w:r>
        <w:t>10 Appendices</w:t>
      </w:r>
    </w:p>
    <w:p>
      <w:pPr>
        <w:pStyle w:val="Heading2"/>
        <w:spacing w:before="240" w:after="120"/>
        <w:ind w:left="0"/>
      </w:pPr>
      <w:r>
        <w:t>10.1 Appendix A: Pipeline Template Catalog</w:t>
      </w:r>
    </w:p>
    <w:p>
      <w:r>
        <w:rPr>
          <w:rFonts w:ascii="Calibri" w:hAnsi="Calibri"/>
          <w:sz w:val="24"/>
        </w:rPr>
        <w:t>The pipeline template library includes: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b/>
          <w:sz w:val="24"/>
        </w:rPr>
        <w:t>Build templates:</w:t>
      </w:r>
      <w:r>
        <w:rPr>
          <w:rFonts w:ascii="Calibri" w:hAnsi="Calibri"/>
          <w:sz w:val="24"/>
        </w:rPr>
        <w:t xml:space="preserve"> .NET, Java, Python, Node.js, Docker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b/>
          <w:sz w:val="24"/>
        </w:rPr>
        <w:t>Deploy templates:</w:t>
      </w:r>
      <w:r>
        <w:rPr>
          <w:rFonts w:ascii="Calibri" w:hAnsi="Calibri"/>
          <w:sz w:val="24"/>
        </w:rPr>
        <w:t xml:space="preserve"> AKS, App Service, Azure Functions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b/>
          <w:sz w:val="24"/>
        </w:rPr>
        <w:t>Security templates:</w:t>
      </w:r>
      <w:r>
        <w:rPr>
          <w:rFonts w:ascii="Calibri" w:hAnsi="Calibri"/>
          <w:sz w:val="24"/>
        </w:rPr>
        <w:t xml:space="preserve"> SAST, DAST, SCA scanning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b/>
          <w:sz w:val="24"/>
        </w:rPr>
        <w:t>Utility templates:</w:t>
      </w:r>
      <w:r>
        <w:rPr>
          <w:rFonts w:ascii="Calibri" w:hAnsi="Calibri"/>
          <w:sz w:val="24"/>
        </w:rPr>
        <w:t xml:space="preserve"> Notifications, approvals, rollback</w:t>
      </w:r>
    </w:p>
    <w:p>
      <w:pPr>
        <w:pStyle w:val="Heading2"/>
        <w:spacing w:before="240" w:after="120"/>
        <w:ind w:left="0"/>
      </w:pPr>
      <w:r>
        <w:t>10.2 Appendix B: Extension Reference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0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  <w:vAlign w:val="center"/>
            <w:shd w:fill="E8F0F8"/>
          </w:tcPr>
          <w:p>
            <w:pPr>
              <w:spacing w:before="120" w:after="120"/>
              <w:jc w:val="center"/>
            </w:pPr>
            <w:r>
              <w:rPr>
                <w:rFonts w:ascii="Calibri" w:hAnsi="Calibri"/>
                <w:b/>
                <w:sz w:val="24"/>
              </w:rPr>
              <w:t>Extension</w:t>
            </w:r>
          </w:p>
        </w:tc>
        <w:tc>
          <w:tcPr>
            <w:tcW w:type="dxa" w:w="374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  <w:vAlign w:val="center"/>
            <w:shd w:fill="E8F0F8"/>
          </w:tcPr>
          <w:p>
            <w:pPr>
              <w:spacing w:before="120" w:after="120"/>
              <w:jc w:val="center"/>
            </w:pPr>
            <w:r>
              <w:rPr>
                <w:rFonts w:ascii="Calibri" w:hAnsi="Calibri"/>
                <w:b/>
                <w:sz w:val="24"/>
              </w:rPr>
              <w:t>Purpose</w:t>
            </w:r>
          </w:p>
        </w:tc>
        <w:tc>
          <w:tcPr>
            <w:tcW w:type="dxa" w:w="280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  <w:vAlign w:val="center"/>
            <w:shd w:fill="E8F0F8"/>
          </w:tcPr>
          <w:p>
            <w:pPr>
              <w:spacing w:before="120" w:after="120"/>
              <w:jc w:val="center"/>
            </w:pPr>
            <w:r>
              <w:rPr>
                <w:rFonts w:ascii="Calibri" w:hAnsi="Calibri"/>
                <w:b/>
                <w:sz w:val="24"/>
              </w:rPr>
              <w:t>Category</w:t>
            </w:r>
          </w:p>
        </w:tc>
      </w:tr>
      <w:tr>
        <w:tc>
          <w:tcPr>
            <w:tcW w:type="dxa" w:w="280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SonarCloud</w:t>
            </w:r>
          </w:p>
        </w:tc>
        <w:tc>
          <w:tcPr>
            <w:tcW w:type="dxa" w:w="374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Code quality and security</w:t>
            </w:r>
          </w:p>
        </w:tc>
        <w:tc>
          <w:tcPr>
            <w:tcW w:type="dxa" w:w="280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Security</w:t>
            </w:r>
          </w:p>
        </w:tc>
      </w:tr>
      <w:tr>
        <w:tc>
          <w:tcPr>
            <w:tcW w:type="dxa" w:w="280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WhiteSource</w:t>
            </w:r>
          </w:p>
        </w:tc>
        <w:tc>
          <w:tcPr>
            <w:tcW w:type="dxa" w:w="374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Dependency scanning</w:t>
            </w:r>
          </w:p>
        </w:tc>
        <w:tc>
          <w:tcPr>
            <w:tcW w:type="dxa" w:w="280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Security</w:t>
            </w:r>
          </w:p>
        </w:tc>
      </w:tr>
      <w:tr>
        <w:tc>
          <w:tcPr>
            <w:tcW w:type="dxa" w:w="280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Terraform</w:t>
            </w:r>
          </w:p>
        </w:tc>
        <w:tc>
          <w:tcPr>
            <w:tcW w:type="dxa" w:w="374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Infrastructure as Code</w:t>
            </w:r>
          </w:p>
        </w:tc>
        <w:tc>
          <w:tcPr>
            <w:tcW w:type="dxa" w:w="280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Deployment</w:t>
            </w:r>
          </w:p>
        </w:tc>
      </w:tr>
      <w:tr>
        <w:tc>
          <w:tcPr>
            <w:tcW w:type="dxa" w:w="280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Azure Key Vault</w:t>
            </w:r>
          </w:p>
        </w:tc>
        <w:tc>
          <w:tcPr>
            <w:tcW w:type="dxa" w:w="374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Secrets management</w:t>
            </w:r>
          </w:p>
        </w:tc>
        <w:tc>
          <w:tcPr>
            <w:tcW w:type="dxa" w:w="280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Security</w:t>
            </w:r>
          </w:p>
        </w:tc>
      </w:tr>
    </w:tbl>
    <w:p>
      <w:pPr>
        <w:pStyle w:val="Caption"/>
        <w:spacing w:before="60" w:after="240"/>
        <w:jc w:val="center"/>
      </w:pPr>
      <w:r>
        <w:rPr>
          <w:rFonts w:ascii="Calibri" w:hAnsi="Calibri"/>
          <w:sz w:val="20"/>
        </w:rPr>
        <w:t xml:space="preserve">Table </w:t>
      </w:r>
      <w:r>
        <w:fldChar w:fldCharType="begin"/>
      </w:r>
      <w:r>
        <w:instrText xml:space="preserve"> SEQ Table \* ARABIC </w:instrText>
      </w:r>
      <w:r>
        <w:fldChar w:fldCharType="separate"/>
      </w:r>
      <w:r>
        <w:rPr>
          <w:rFonts w:ascii="Calibri" w:hAnsi="Calibri"/>
          <w:sz w:val="20"/>
        </w:rPr>
        <w:t>8</w:t>
      </w:r>
      <w:r>
        <w:fldChar w:fldCharType="end"/>
      </w:r>
      <w:r>
        <w:rPr>
          <w:rFonts w:ascii="Calibri" w:hAnsi="Calibri"/>
          <w:sz w:val="20"/>
        </w:rPr>
        <w:t>: Extension</w:t>
      </w:r>
    </w:p>
    <w:p>
      <w:pPr>
        <w:pStyle w:val="Heading2"/>
        <w:spacing w:before="240" w:after="120"/>
        <w:ind w:left="0"/>
      </w:pPr>
      <w:r>
        <w:t>10.3 Appendix C: Environment Reference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3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  <w:vAlign w:val="center"/>
            <w:shd w:fill="E8F0F8"/>
          </w:tcPr>
          <w:p>
            <w:pPr>
              <w:spacing w:before="120" w:after="120"/>
              <w:jc w:val="center"/>
            </w:pPr>
            <w:r>
              <w:rPr>
                <w:rFonts w:ascii="Calibri" w:hAnsi="Calibri"/>
                <w:b/>
                <w:sz w:val="24"/>
              </w:rPr>
              <w:t>Environment</w:t>
            </w:r>
          </w:p>
        </w:tc>
        <w:tc>
          <w:tcPr>
            <w:tcW w:type="dxa" w:w="327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  <w:vAlign w:val="center"/>
            <w:shd w:fill="E8F0F8"/>
          </w:tcPr>
          <w:p>
            <w:pPr>
              <w:spacing w:before="120" w:after="120"/>
              <w:jc w:val="center"/>
            </w:pPr>
            <w:r>
              <w:rPr>
                <w:rFonts w:ascii="Calibri" w:hAnsi="Calibri"/>
                <w:b/>
                <w:sz w:val="24"/>
              </w:rPr>
              <w:t>Purpose</w:t>
            </w:r>
          </w:p>
        </w:tc>
        <w:tc>
          <w:tcPr>
            <w:tcW w:type="dxa" w:w="374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  <w:vAlign w:val="center"/>
            <w:shd w:fill="E8F0F8"/>
          </w:tcPr>
          <w:p>
            <w:pPr>
              <w:spacing w:before="120" w:after="120"/>
              <w:jc w:val="center"/>
            </w:pPr>
            <w:r>
              <w:rPr>
                <w:rFonts w:ascii="Calibri" w:hAnsi="Calibri"/>
                <w:b/>
                <w:sz w:val="24"/>
              </w:rPr>
              <w:t>Approval</w:t>
            </w:r>
          </w:p>
        </w:tc>
      </w:tr>
      <w:tr>
        <w:tc>
          <w:tcPr>
            <w:tcW w:type="dxa" w:w="23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Development</w:t>
            </w:r>
          </w:p>
        </w:tc>
        <w:tc>
          <w:tcPr>
            <w:tcW w:type="dxa" w:w="327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Developer testing</w:t>
            </w:r>
          </w:p>
        </w:tc>
        <w:tc>
          <w:tcPr>
            <w:tcW w:type="dxa" w:w="374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Automatic</w:t>
            </w:r>
          </w:p>
        </w:tc>
      </w:tr>
      <w:tr>
        <w:tc>
          <w:tcPr>
            <w:tcW w:type="dxa" w:w="23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Testing</w:t>
            </w:r>
          </w:p>
        </w:tc>
        <w:tc>
          <w:tcPr>
            <w:tcW w:type="dxa" w:w="327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QA validation</w:t>
            </w:r>
          </w:p>
        </w:tc>
        <w:tc>
          <w:tcPr>
            <w:tcW w:type="dxa" w:w="374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Team Lead</w:t>
            </w:r>
          </w:p>
        </w:tc>
      </w:tr>
      <w:tr>
        <w:tc>
          <w:tcPr>
            <w:tcW w:type="dxa" w:w="23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Staging</w:t>
            </w:r>
          </w:p>
        </w:tc>
        <w:tc>
          <w:tcPr>
            <w:tcW w:type="dxa" w:w="327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Pre-production</w:t>
            </w:r>
          </w:p>
        </w:tc>
        <w:tc>
          <w:tcPr>
            <w:tcW w:type="dxa" w:w="374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Release Manager</w:t>
            </w:r>
          </w:p>
        </w:tc>
      </w:tr>
      <w:tr>
        <w:tc>
          <w:tcPr>
            <w:tcW w:type="dxa" w:w="23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Production</w:t>
            </w:r>
          </w:p>
        </w:tc>
        <w:tc>
          <w:tcPr>
            <w:tcW w:type="dxa" w:w="327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Live environment</w:t>
            </w:r>
          </w:p>
        </w:tc>
        <w:tc>
          <w:tcPr>
            <w:tcW w:type="dxa" w:w="374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Change Advisory Board</w:t>
            </w:r>
          </w:p>
        </w:tc>
      </w:tr>
    </w:tbl>
    <w:p>
      <w:pPr>
        <w:pStyle w:val="Caption"/>
        <w:spacing w:before="60" w:after="240"/>
        <w:jc w:val="center"/>
      </w:pPr>
      <w:r>
        <w:rPr>
          <w:rFonts w:ascii="Calibri" w:hAnsi="Calibri"/>
          <w:sz w:val="20"/>
        </w:rPr>
        <w:t xml:space="preserve">Table </w:t>
      </w:r>
      <w:r>
        <w:fldChar w:fldCharType="begin"/>
      </w:r>
      <w:r>
        <w:instrText xml:space="preserve"> SEQ Table \* ARABIC </w:instrText>
      </w:r>
      <w:r>
        <w:fldChar w:fldCharType="separate"/>
      </w:r>
      <w:r>
        <w:rPr>
          <w:rFonts w:ascii="Calibri" w:hAnsi="Calibri"/>
          <w:sz w:val="20"/>
        </w:rPr>
        <w:t>9</w:t>
      </w:r>
      <w:r>
        <w:fldChar w:fldCharType="end"/>
      </w:r>
      <w:r>
        <w:rPr>
          <w:rFonts w:ascii="Calibri" w:hAnsi="Calibri"/>
          <w:sz w:val="20"/>
        </w:rPr>
        <w:t>: Environment</w:t>
      </w:r>
    </w:p>
    <w:p>
      <w:r>
        <w:rPr>
          <w:rFonts w:ascii="Calibri" w:hAnsi="Calibri"/>
          <w:b/>
          <w:sz w:val="24"/>
        </w:rPr>
        <w:t>Document Version</w:t>
      </w:r>
      <w:r>
        <w:rPr>
          <w:rFonts w:ascii="Calibri" w:hAnsi="Calibri"/>
          <w:sz w:val="24"/>
        </w:rPr>
        <w:t>: 2.0</w:t>
      </w:r>
    </w:p>
    <w:p>
      <w:r>
        <w:rPr>
          <w:rFonts w:ascii="Calibri" w:hAnsi="Calibri"/>
          <w:b/>
          <w:sz w:val="24"/>
        </w:rPr>
        <w:t>Last Updated</w:t>
      </w:r>
      <w:r>
        <w:rPr>
          <w:rFonts w:ascii="Calibri" w:hAnsi="Calibri"/>
          <w:sz w:val="24"/>
        </w:rPr>
        <w:t>: [DATE]</w:t>
      </w:r>
    </w:p>
    <w:p>
      <w:r>
        <w:rPr>
          <w:rFonts w:ascii="Calibri" w:hAnsi="Calibri"/>
          <w:b/>
          <w:sz w:val="24"/>
        </w:rPr>
        <w:t>Prepared By</w:t>
      </w:r>
      <w:r>
        <w:rPr>
          <w:rFonts w:ascii="Calibri" w:hAnsi="Calibri"/>
          <w:sz w:val="24"/>
        </w:rPr>
        <w:t>: Solution Architecture Team</w:t>
      </w:r>
    </w:p>
    <w:p>
      <w:r>
        <w:rPr>
          <w:rFonts w:ascii="Calibri" w:hAnsi="Calibri"/>
          <w:b/>
          <w:sz w:val="24"/>
        </w:rPr>
        <w:t>Review Status</w:t>
      </w:r>
      <w:r>
        <w:rPr>
          <w:rFonts w:ascii="Calibri" w:hAnsi="Calibri"/>
          <w:sz w:val="24"/>
        </w:rPr>
        <w:t>: Approved</w:t>
      </w:r>
    </w:p>
    <w:p>
      <w:r>
        <w:br w:type="page"/>
      </w:r>
    </w:p>
    <w:p/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441448" cy="522214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441448" cy="52221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hyperlink w:history="1" r:id="rId16">
        <w:r>
          <w:rPr>
            <w:rFonts w:ascii="Calibri" w:hAnsi="Calibri"/>
            <w:sz w:val="22"/>
            <w:color w:val="1F4E78"/>
          </w:rPr>
          <w:t>eoframework.org</w:t>
        </w:r>
      </w:hyperlink>
    </w:p>
    <w:sectPr w:rsidR="00517E5A" w:rsidSect="00034616">
      <w:headerReference w:type="default" r:id="rId11"/>
      <w:footerReference w:type="default" r:id="rId12"/>
      <w:pgSz w:w="12240" w:h="15840"/>
      <w:pgMar w:top="1440" w:right="1800" w:bottom="1440" w:left="180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494F370" w14:textId="77777777" w:rsidR="00701ED1" w:rsidRDefault="00701ED1">
      <w:pPr>
        <w:spacing w:after="0" w:line="240" w:lineRule="auto"/>
      </w:pPr>
      <w:r>
        <w:separator/>
      </w:r>
    </w:p>
  </w:endnote>
  <w:endnote w:type="continuationSeparator" w:id="0">
    <w:p w14:paraId="4190DF2E" w14:textId="77777777" w:rsidR="00701ED1" w:rsidRDefault="00701ED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17EF862" w14:textId="77777777" w:rsidR="00517E5A" w:rsidRDefault="00000000">
    <w:pPr>
      <w:pStyle w:val="Footer"/>
    </w:pPr>
    <w:r>
      <w:rPr>
        <w:noProof/>
      </w:rPr>
      <w:drawing>
        <wp:inline distT="0" distB="0" distL="0" distR="0" wp14:anchorId="5AB7C88C" wp14:editId="1695A56E">
          <wp:extent cx="1280160" cy="365760"/>
          <wp:effectExtent l="0" t="0" r="0" b="0"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consulting_company_logo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280160" cy="36576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tab/>
    </w:r>
    <w:r>
      <w:tab/>
    </w:r>
    <w:r>
      <w:rPr>
        <w:color w:val="808080"/>
        <w:sz w:val="24"/>
      </w:rPr>
      <w:t xml:space="preserve">Page </w:t>
    </w:r>
    <w:r>
      <w:fldChar w:fldCharType="begin"/>
    </w:r>
    <w:r>
      <w:instrText>PAGE</w:instrText>
    </w:r>
    <w:r>
      <w:fldChar w:fldCharType="separate"/>
    </w:r>
    <w:r w:rsidR="0098338B">
      <w:rPr>
        <w:noProof/>
      </w:rPr>
      <w:t>2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7E4A686" w14:textId="77777777" w:rsidR="00701ED1" w:rsidRDefault="00701ED1">
      <w:pPr>
        <w:spacing w:after="0" w:line="240" w:lineRule="auto"/>
      </w:pPr>
      <w:r>
        <w:separator/>
      </w:r>
    </w:p>
  </w:footnote>
  <w:footnote w:type="continuationSeparator" w:id="0">
    <w:p w14:paraId="1573E100" w14:textId="77777777" w:rsidR="00701ED1" w:rsidRDefault="00701ED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81608B3" w14:textId="30D4E99B" w:rsidR="00517E5A" w:rsidRDefault="00000000">
    <w:pPr>
      <w:pStyle w:val="Header"/>
    </w:pPr>
    <w:r>
      <w:rPr>
        <w:color w:val="808080"/>
        <w:sz w:val="24"/>
      </w:rPr>
      <w:t>Detailed Design Document</w:t>
      <w:tab/>
      <w:tab/>
      <w:t>Azure DevOps Enterprise Platform</w:t>
    </w:r>
    <w:r w:rsidR="005B0B47">
      <w:rPr>
        <w:color w:val="808080"/>
        <w:sz w:val="24"/>
      </w:rPr>
    </w:r>
    <w:r>
      <w:rPr>
        <w:color w:val="808080"/>
        <w:sz w:val="24"/>
      </w:rPr>
    </w:r>
    <w:r/>
    <w:r/>
    <w:r>
      <w:rPr>
        <w:color w:val="808080"/>
        <w:sz w:val="24"/>
      </w:rPr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399744809">
    <w:abstractNumId w:val="8"/>
  </w:num>
  <w:num w:numId="2" w16cid:durableId="200215377">
    <w:abstractNumId w:val="6"/>
  </w:num>
  <w:num w:numId="3" w16cid:durableId="2102413460">
    <w:abstractNumId w:val="5"/>
  </w:num>
  <w:num w:numId="4" w16cid:durableId="946472161">
    <w:abstractNumId w:val="4"/>
  </w:num>
  <w:num w:numId="5" w16cid:durableId="1919824079">
    <w:abstractNumId w:val="7"/>
  </w:num>
  <w:num w:numId="6" w16cid:durableId="1053848157">
    <w:abstractNumId w:val="3"/>
  </w:num>
  <w:num w:numId="7" w16cid:durableId="1376662600">
    <w:abstractNumId w:val="2"/>
  </w:num>
  <w:num w:numId="8" w16cid:durableId="1597639376">
    <w:abstractNumId w:val="1"/>
  </w:num>
  <w:num w:numId="9" w16cid:durableId="150211703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B2DCB"/>
    <w:rsid w:val="0015074B"/>
    <w:rsid w:val="00175DC1"/>
    <w:rsid w:val="0029639D"/>
    <w:rsid w:val="002B4224"/>
    <w:rsid w:val="002D5501"/>
    <w:rsid w:val="00326F90"/>
    <w:rsid w:val="00517E5A"/>
    <w:rsid w:val="00541DC9"/>
    <w:rsid w:val="005A01BD"/>
    <w:rsid w:val="005A14E3"/>
    <w:rsid w:val="005B0B47"/>
    <w:rsid w:val="006C1B3B"/>
    <w:rsid w:val="00701ED1"/>
    <w:rsid w:val="00717007"/>
    <w:rsid w:val="007647BA"/>
    <w:rsid w:val="008E6583"/>
    <w:rsid w:val="0098338B"/>
    <w:rsid w:val="00A2441E"/>
    <w:rsid w:val="00A7109D"/>
    <w:rsid w:val="00AA1D8D"/>
    <w:rsid w:val="00B47730"/>
    <w:rsid w:val="00CB0664"/>
    <w:rsid w:val="00DF3F7F"/>
    <w:rsid w:val="00E45A90"/>
    <w:rsid w:val="00F01295"/>
    <w:rsid w:val="00F218B7"/>
    <w:rsid w:val="00FC693F"/>
    <w:rsid w:val="00FD62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6D5C57AA"/>
  <w14:defaultImageDpi w14:val="300"/>
  <w15:docId w15:val="{0421C025-1019-4666-8382-4146CC71EE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/>
      <w:outlineLvl w:val="0"/>
    </w:pPr>
    <w:rPr>
      <w:rFonts w:asciiTheme="majorHAnsi" w:eastAsiaTheme="majorEastAsia" w:hAnsiTheme="majorHAnsi" w:cstheme="majorBidi"/>
      <w:b/>
      <w:bCs/>
      <w:color w:val="1F4E78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80"/>
      <w:outlineLvl w:val="1"/>
    </w:pPr>
    <w:rPr>
      <w:rFonts w:asciiTheme="majorHAnsi" w:eastAsiaTheme="majorEastAsia" w:hAnsiTheme="majorHAnsi" w:cstheme="majorBidi"/>
      <w:b/>
      <w:bCs/>
      <w:color w:val="2E5C8A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b/>
      <w:bCs/>
      <w:i/>
      <w:color w:val="40404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120" w:after="40"/>
      <w:outlineLvl w:val="3"/>
    </w:pPr>
    <w:rPr>
      <w:rFonts w:asciiTheme="majorHAnsi" w:eastAsiaTheme="majorEastAsia" w:hAnsiTheme="majorHAnsi" w:cstheme="majorBidi"/>
      <w:bCs/>
      <w:i/>
      <w:iCs/>
      <w:color w:val="5B677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F4E78"/>
      <w:spacing w:val="5"/>
      <w:kern w:val="28"/>
      <w:sz w:val="6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theme" Target="theme/theme1.xml"/><Relationship Id="rId15" Type="http://schemas.openxmlformats.org/officeDocument/2006/relationships/image" Target="media/image4.png"/><Relationship Id="rId16" Type="http://schemas.openxmlformats.org/officeDocument/2006/relationships/hyperlink" Target="https://eoframework.org" TargetMode="External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300</Words>
  <Characters>1710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2006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Kishan Siram</cp:lastModifiedBy>
  <cp:revision>11</cp:revision>
  <dcterms:created xsi:type="dcterms:W3CDTF">2013-12-23T23:15:00Z</dcterms:created>
  <dcterms:modified xsi:type="dcterms:W3CDTF">2025-11-26T11:44:00Z</dcterms:modified>
  <cp:category/>
</cp:coreProperties>
</file>