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Azure - Azure Sentinel SIEM Implementation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4"/>
        </w:rPr>
        <w:t>Azure Sentinel SIEM</w:t>
      </w:r>
      <w:r>
        <w:rPr>
          <w:rFonts w:ascii="Calibri" w:hAnsi="Calibri"/>
          <w:sz w:val="24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12 weeks (as detailed in Timeline &amp; Milestones section)</w:t>
      </w:r>
    </w:p>
    <w:p>
      <w:r>
        <w:rPr>
          <w:rFonts w:ascii="Calibri" w:hAnsi="Calibri"/>
          <w:b/>
          <w:sz w:val="24"/>
        </w:rPr>
        <w:t>Key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and configure Azure Sentinel SIEM according to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Integrate with existing enterprise systems and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Train technical staff on operations and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Achieve defined success metrics and business outcomes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Business Context</w:t>
      </w:r>
    </w:p>
    <w:p>
      <w:r>
        <w:rPr>
          <w:rFonts w:ascii="Calibri" w:hAnsi="Calibri"/>
          <w:sz w:val="24"/>
        </w:rPr>
        <w:t>[Client Name] faces increasing cybersecurity threats and regulatory pressures requiring advanced security monitoring and rapid incident response capabilities. This Microsoft Sentinel implementation will transform security operations through AI-powered threat detection, automated response workflows, and unified visibility across the entire IT environment.</w:t>
      </w:r>
    </w:p>
    <w:p>
      <w:r>
        <w:rPr>
          <w:rFonts w:ascii="Calibri" w:hAnsi="Calibri"/>
          <w:b/>
          <w:sz w:val="24"/>
        </w:rPr>
        <w:t>Key Opportunities and Success Criteria: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Opportunity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Detect and respond to threats 10x faster with AI-powered analytics and automated response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Reduce mean time to detect (MTTD) from hours to minutes with real-time threat correlation across all data 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Consolidate fragmented security tools into unified platform, reducing tool sprawl and operational complexity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 advanced threat hunting and forensic analysis across historical and real-time security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Success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90% reduction in mean time to respond (MTTR) with measurable incident resolution improvements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99%+ uptime for security operations with built-in redundancy and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50%+ reduction in false positive alerts through ML-powered anomaly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realization within 12 months through reduced security incidents and operational efficiency gains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SOW, delivered through a proven three-phase methodology: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1: Foundation (Weeks 1-4)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Azure Sentinel workspace and configure Log Analytics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Implement data connectors for primary sources (Office 365, Azure AD, Defender for Cloud)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identity and access controls with RBAC and privilege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Establish centralized logging and audit trail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2: Analytics &amp; Detection (Weeks 5-8)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50+ built-in KQL analytics rules with high-fidelity detections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threat intelligence feeds and integration with external threat 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Implement custom detection rules based on organization-specific threats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Establish incident investigation workflows and SOC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3: Automation &amp; Optimization (Weeks 9-12)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and test SOAR playbooks for automated incident response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Integrate with external systems (ticketing, communication, IR tools)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Optimize alert tuning to reduce false positives while maintaining detection rate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Train SOC team on advanced hunting and investigation techniques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development beyond standard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application licensing (unless specified)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procurement or disposal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(technical team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post-hypercare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Project Milestones</w:t>
      </w:r>
    </w:p>
    <w:p>
      <w:r>
        <w:rPr>
          <w:rFonts w:ascii="Calibri" w:hAnsi="Calibri"/>
          <w:sz w:val="24"/>
        </w:rPr>
        <w:t>The implementation will be delivered in three phases over 12 weeks, with clear milestones and deliverables at each stage: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 No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 Description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Timeline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Key Deliverables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Foundation &amp; Data Ingestion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1-4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Sentinel workspace operational, Primary data connectors live, Identity controls configured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Analytics &amp; Detection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5-8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50+ detection rules deployed, Threat intel integration live, Investigation procedures documented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Automation &amp; Optimization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9-12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SOAR playbooks operational, SOC team trained, Alert tuning completed, Hunting capabilities enabled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Deliverables And Timeline</w:t>
      </w:r>
    </w:p>
    <w:p>
      <w:pPr>
        <w:pStyle w:val="Heading2"/>
        <w:spacing w:before="240" w:after="120"/>
        <w:ind w:left="0"/>
      </w:pPr>
      <w:r>
        <w:t>4.2 Key Deliverables</w:t>
      </w:r>
    </w:p>
    <w:p>
      <w:r>
        <w:rPr>
          <w:rFonts w:ascii="Calibri" w:hAnsi="Calibri"/>
          <w:sz w:val="24"/>
        </w:rPr>
        <w:t>The following deliverables will be provided throughout the engagement, with specified delivery dates and acceptance criteria: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Architecture Document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Runbook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 Results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 Sessions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Task/Deliverable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PM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Arch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Eng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IT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Mgmt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SME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Architecture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Setup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&amp; Tuning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Development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Roles and Responsibilities (RACI Matrix)</w:t>
      </w:r>
    </w:p>
    <w:p>
      <w:r>
        <w:rPr>
          <w:rFonts w:ascii="Calibri" w:hAnsi="Calibri"/>
          <w:b/>
          <w:sz w:val="24"/>
        </w:rPr>
        <w:t>Legend:</w:t>
      </w:r>
      <w:r>
        <w:rPr>
          <w:rFonts w:ascii="Calibri" w:hAnsi="Calibri"/>
          <w:sz w:val="24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/>
      </w:pPr>
      <w:r>
        <w:t>5.2 Key Personnel</w:t>
      </w:r>
    </w:p>
    <w:p>
      <w:r>
        <w:rPr>
          <w:rFonts w:ascii="Calibri" w:hAnsi="Calibri"/>
          <w:b/>
          <w:sz w:val="24"/>
        </w:rPr>
        <w:t>Vendor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Manager: Overall delivery accountability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Architect: Technical design and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Engineers: Implementation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Support Specialist: Training and hypercare</w:t>
      </w:r>
    </w:p>
    <w:p>
      <w:r>
        <w:rPr>
          <w:rFonts w:ascii="Calibri" w:hAnsi="Calibri"/>
          <w:b/>
          <w:sz w:val="24"/>
        </w:rPr>
        <w:t>Client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IT Lead: Primary technical contact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Sponsor: Executive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Team: Knowledge transfer recipients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Subject Matter Experts: Requirements validation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Microsoft Sentinel solution will be architected as a cloud-native security intelligence platform with four integrated layers providing comprehensive threat detection, investigation, and response capabilities: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92925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2925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Ingestion Layer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Multi-source data collection from Office 365, Azure AD, Microsoft Defender, firewalls, and third-party SIEMs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connectors for rapid onboarding with zero custom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Analytics Engine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KQL (Kusto Query Language) rules for threat detection with 200+ built-in detections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models for anomaly detection identifying unusual patterns and behaviors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Threat intelligence integration for correlation with known attack patterns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Incident Management &amp; Investigation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incident investigation with AI-powered timeline reconstruction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Advanced hunting capabilities for manual threat investigation and forensics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Workbooks and dashboards for real-time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SOAR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Logic Apps for automated incident response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playbook development for organization-specific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existing ticketing and communication systems</w:t>
      </w:r>
    </w:p>
    <w:p>
      <w:pPr>
        <w:pStyle w:val="Heading2"/>
        <w:spacing w:before="240" w:after="120"/>
        <w:ind w:left="0"/>
      </w:pPr>
      <w:r>
        <w:t>6.2 Technical Implementation</w:t>
      </w:r>
    </w:p>
    <w:p>
      <w:r>
        <w:rPr>
          <w:rFonts w:ascii="Calibri" w:hAnsi="Calibri"/>
          <w:sz w:val="24"/>
        </w:rPr>
        <w:t>The implementation will follow industry best practices with: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as Code for repeatable deployments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for consistency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testing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Comprehensive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Security-first design principles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Least-privilege principle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required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 accounts with minimal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access reviews and certification</w:t>
      </w:r>
    </w:p>
    <w:p>
      <w:pPr>
        <w:pStyle w:val="Heading2"/>
        <w:spacing w:before="240" w:after="120"/>
        <w:ind w:left="0"/>
      </w:pPr>
      <w:r>
        <w:t>7.2 Monitoring &amp;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Real-time security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for all administrative 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Anomaly detection and behavioral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 dashboards</w:t>
      </w:r>
    </w:p>
    <w:p>
      <w:pPr>
        <w:pStyle w:val="Heading2"/>
        <w:spacing w:before="240" w:after="120"/>
        <w:ind w:left="0"/>
      </w:pPr>
      <w:r>
        <w:t>7.3 Compliance &amp; Governance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Industry standard compliance frameworks (SOC 2, ISO 27001)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classification and protection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for data at-rest and in-transit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security assessments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enforcement automation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Testing Strategy</w:t>
      </w:r>
    </w:p>
    <w:p>
      <w:r>
        <w:rPr>
          <w:rFonts w:ascii="Calibri" w:hAnsi="Calibri"/>
          <w:b/>
          <w:sz w:val="24"/>
        </w:rPr>
        <w:t>Functional Validation: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End-to-end workflow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point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acceptance testing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integrity verification</w:t>
      </w:r>
    </w:p>
    <w:p>
      <w:r>
        <w:rPr>
          <w:rFonts w:ascii="Calibri" w:hAnsi="Calibri"/>
          <w:b/>
          <w:sz w:val="24"/>
        </w:rPr>
        <w:t>Performance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Load testing under expected conditions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Stress testing at 2x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Response time benchmarking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Scalability validation</w:t>
      </w:r>
    </w:p>
    <w:p>
      <w:r>
        <w:rPr>
          <w:rFonts w:ascii="Calibri" w:hAnsi="Calibri"/>
          <w:b/>
          <w:sz w:val="24"/>
        </w:rPr>
        <w:t>Security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Vulnerability scanning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Penetration testing coordination (if required)</w:t>
      </w:r>
    </w:p>
    <w:p>
      <w:pPr>
        <w:pStyle w:val="Heading2"/>
        <w:spacing w:before="240" w:after="120"/>
        <w:ind w:left="0"/>
      </w:pPr>
      <w:r>
        <w:t>8.2 Go-Live Readiness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functional tests passed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benchmarks achieved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validation complete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Documentation finalized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Team training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Stakeholder sign-off obtained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r>
        <w:rPr>
          <w:rFonts w:ascii="Calibri" w:hAnsi="Calibri"/>
          <w:b/>
          <w:sz w:val="24"/>
        </w:rPr>
        <w:t>Training Sessions: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3x live knowledge transfer sessions (recorded)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 walkthrough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alerting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Best practices documentation</w:t>
      </w:r>
    </w:p>
    <w:p>
      <w:r>
        <w:rPr>
          <w:rFonts w:ascii="Calibri" w:hAnsi="Calibri"/>
          <w:b/>
          <w:sz w:val="24"/>
        </w:rPr>
        <w:t>Documentation Package: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Optimization recommendations</w:t>
      </w:r>
    </w:p>
    <w:p>
      <w:pPr>
        <w:pStyle w:val="Heading2"/>
        <w:spacing w:before="240" w:after="120"/>
        <w:ind w:left="0"/>
      </w:pPr>
      <w:r>
        <w:t>9.2 Hypercare Support</w:t>
      </w:r>
    </w:p>
    <w:p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4 weeks post-go-live</w:t>
      </w:r>
    </w:p>
    <w:p>
      <w:r>
        <w:rPr>
          <w:rFonts w:ascii="Calibri" w:hAnsi="Calibri"/>
          <w:b/>
          <w:sz w:val="24"/>
        </w:rPr>
        <w:t>Coverage: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hours support (8 AM - 6 PM local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response time for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health check calls (first 2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Weekly status meetings</w:t>
      </w:r>
    </w:p>
    <w:p>
      <w:r>
        <w:rPr>
          <w:rFonts w:ascii="Calibri" w:hAnsi="Calibri"/>
          <w:b/>
          <w:sz w:val="24"/>
        </w:rPr>
        <w:t>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investigation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tuning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adjustments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Continued knowledge transfer</w:t>
      </w:r>
    </w:p>
    <w:p>
      <w:pPr>
        <w:pStyle w:val="Heading1"/>
        <w:spacing w:before="160" w:after="120"/>
        <w:ind w:left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$137,000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$137,000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$137,000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$191,140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($9,000)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$182,140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$191,140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$191,140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$564,420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 Licenses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$7,400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$7,400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$7,400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$7,400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$22,200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$19,428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($12,000)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$7,428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$19,428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$19,428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$46,284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$354,968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($21,000)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$333,968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$217,968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$217,968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$769,904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General Terms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/>
      </w:pPr>
      <w:r>
        <w:t>11.2 Scope Changes</w:t>
      </w:r>
    </w:p>
    <w:p>
      <w:r>
        <w:rPr>
          <w:rFonts w:ascii="Calibri" w:hAnsi="Calibri"/>
          <w:sz w:val="24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/>
      </w:pPr>
      <w:r>
        <w:t>11.3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configurations and documentation specific to their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proprietary methodologies, tools, and accelerators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Pre-existing IP remains with original owner</w:t>
      </w:r>
    </w:p>
    <w:p>
      <w:pPr>
        <w:pStyle w:val="Heading2"/>
        <w:spacing w:before="240" w:after="120"/>
        <w:ind w:left="0"/>
      </w:pPr>
      <w:r>
        <w:t>11.4 Service Levels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Deliverables provided per agreed schedule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period: 4 weeks with defined response times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Extended support available via managed services contract</w:t>
      </w:r>
    </w:p>
    <w:p>
      <w:pPr>
        <w:pStyle w:val="Heading2"/>
        <w:spacing w:before="240" w:after="120"/>
        <w:ind w:left="0"/>
      </w:pPr>
      <w:r>
        <w:t>11.5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exchanged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data handled per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disclosure to third parties without consent</w:t>
      </w:r>
    </w:p>
    <w:p>
      <w:pPr>
        <w:pStyle w:val="Heading2"/>
        <w:spacing w:before="240" w:after="120"/>
        <w:ind w:left="0"/>
      </w:pPr>
      <w:r>
        <w:t>11.6 Termination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Either party may terminate with 30 days written notice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Payment due for all completed 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Deliverables transferred upon termination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Azure - Azure Sentinel SIEM Implementation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