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- Azure Virtual Desktop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4"/>
        </w:rPr>
        <w:t>Azure Virtual Desktop</w:t>
      </w:r>
      <w:r>
        <w:rPr>
          <w:rFonts w:ascii="Calibri" w:hAnsi="Calibri"/>
          <w:sz w:val="24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12 weeks (as detailed in Timeline &amp; Milestones section)</w:t>
      </w:r>
    </w:p>
    <w:p>
      <w:r>
        <w:rPr>
          <w:rFonts w:ascii="Calibri" w:hAnsi="Calibri"/>
          <w:b/>
          <w:sz w:val="24"/>
        </w:rPr>
        <w:t>Key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and configure Azure Virtual Desktop according to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with existing enterprise systems and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 technical staff on operations and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defined success metrics and business outcomes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Business Context</w:t>
      </w:r>
    </w:p>
    <w:p>
      <w:r>
        <w:rPr>
          <w:rFonts w:ascii="Calibri" w:hAnsi="Calibri"/>
          <w:sz w:val="24"/>
        </w:rPr>
        <w:t>[Client Name] requires a modern desktop infrastructure to support hybrid and remote workforce models while maintaining security, performance, and user experience. This Azure Virtual Desktop implementation will deliver cloud-based desktop services enabling secure access from any device, anywhere, while reducing infrastructure costs and IT operational overhead.</w:t>
      </w:r>
    </w:p>
    <w:p>
      <w:r>
        <w:rPr>
          <w:rFonts w:ascii="Calibri" w:hAnsi="Calibri"/>
          <w:b/>
          <w:sz w:val="24"/>
        </w:rPr>
        <w:t>Key Opportunities and Success Criteria: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Opportunity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hybrid and remote workforce without compromising security or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infrastructure costs by 30-40% compared to traditional VDI and physical desktops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Modernize desktop management with cloud-based administration and simplified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Success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user adoption with minimal support calls through intuitive experience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20-30% reduction in IT operational costs through cloud-based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18-24 months through infrastructure consolidation and labor savings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SOW, delivered through a proven three-phase methodology: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1: Discovery &amp; Planning (Weeks 1-2)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Assess current environment and user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Design AVD architecture with security and performance considerations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network connectivity and application compatibility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2: Infrastructure Deployment (Weeks 3-5)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Azure Virtual Network and identity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D4s_v5 session hosts with Windows 11 Multi-Session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Set up Azure Files Premium and FSLogix profile containers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3: Application Deployment, Migration &amp; Hypercare (Weeks 6-10)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Microsoft 365 and critical business applications with UAT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users in waves to new AVD environment with application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30-day hypercare support and transition to operations team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development beyond standard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application licensing (unless specified)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or disposal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(technical team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post-hypercare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Project Milestones</w:t>
      </w:r>
    </w:p>
    <w:p>
      <w:r>
        <w:rPr>
          <w:rFonts w:ascii="Calibri" w:hAnsi="Calibri"/>
          <w:sz w:val="24"/>
        </w:rPr>
        <w:t>The implementation will be delivered in three phases over 8-10 weeks, with clear milestones and deliverables at each stage: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No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Description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Timeline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Deliverables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Planning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1-2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Requirements validated, Architecture designed, Project plan approved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Deployment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3-5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networking live, Session hosts operational, FSLogix configured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Deployment, Migration &amp; Hypercare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6-10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Applications deployed, Users migrated in waves, 30-day hypercare support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2"/>
        <w:spacing w:before="240" w:after="120"/>
        <w:ind w:left="0"/>
      </w:pPr>
      <w:r>
        <w:t>4.2 Key Deliverables</w:t>
      </w:r>
    </w:p>
    <w:p>
      <w:r>
        <w:rPr>
          <w:rFonts w:ascii="Calibri" w:hAnsi="Calibri"/>
          <w:sz w:val="24"/>
        </w:rPr>
        <w:t>The following deliverables will be provided throughout the engagement, with specified delivery dates and acceptance criteria: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Runbook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 Results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Task/Deliverable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Arch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IT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Mgmt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&amp; Tuning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Development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Roles and Responsibilities (RACI Matrix)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Architect: Technical design and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Engineers: Implementation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Specialist: Training and hypercare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 Lead: Primary technical contact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Sponsor: Executive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Team: Knowledge transfer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Subject Matter Experts: Requirements validation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Azure Virtual Desktop solution will be architected to deliver secure, high-performance desktop experiences with the following key components: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99335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9933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AVD Core Components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Windows 11 Multi-Session VMs with 20 session hosts supporting 100 concurrent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integration for unified identity and conditional access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FSLogix user profile containers for seamless profile roaming and application persistence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Platform 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Network with hub-spoke topology for connectivity and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Files Premium storage for FSLogix containers and user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with Log Analytics for comprehensive diagnostics and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Intune device management for BYOD and corporate device support</w:t>
      </w:r>
    </w:p>
    <w:p>
      <w:pPr>
        <w:pStyle w:val="Heading2"/>
        <w:spacing w:before="240" w:after="120"/>
        <w:ind w:left="0"/>
      </w:pPr>
      <w:r>
        <w:t>6.2 Technical Implementation</w:t>
      </w:r>
    </w:p>
    <w:p>
      <w:r>
        <w:rPr>
          <w:rFonts w:ascii="Calibri" w:hAnsi="Calibri"/>
          <w:sz w:val="24"/>
        </w:rPr>
        <w:t>The implementation will follow industry best practices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 Code for repeatable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for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testing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Security-first design principles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Least-privilege principle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accounts with minimal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access reviews and certification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security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administrative 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Anomaly detection and behavioral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dashboards</w:t>
      </w:r>
    </w:p>
    <w:p>
      <w:pPr>
        <w:pStyle w:val="Heading2"/>
        <w:spacing w:before="240" w:after="120"/>
        <w:ind w:left="0"/>
      </w:pPr>
      <w:r>
        <w:t>7.3 Compliance &amp;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Industry standard compliance frameworks (SOC 2, ISO 27001)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and protection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for data at-rest and in-transit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security assessments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enforcement automation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Testing Strategy</w:t>
      </w:r>
    </w:p>
    <w:p>
      <w:r>
        <w:rPr>
          <w:rFonts w:ascii="Calibri" w:hAnsi="Calibri"/>
          <w:b/>
          <w:sz w:val="24"/>
        </w:rPr>
        <w:t>Functional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workflow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point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acceptance testing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verification</w:t>
      </w:r>
    </w:p>
    <w:p>
      <w:r>
        <w:rPr>
          <w:rFonts w:ascii="Calibri" w:hAnsi="Calibri"/>
          <w:b/>
          <w:sz w:val="24"/>
        </w:rPr>
        <w:t>Performance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Load testing under expected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Stress testing at 2x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 time benchmarking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Scalability validation</w:t>
      </w:r>
    </w:p>
    <w:p>
      <w:r>
        <w:rPr>
          <w:rFonts w:ascii="Calibri" w:hAnsi="Calibri"/>
          <w:b/>
          <w:sz w:val="24"/>
        </w:rPr>
        <w:t>Security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Vulnerability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Penetration testing coordination (if required)</w:t>
      </w:r>
    </w:p>
    <w:p>
      <w:pPr>
        <w:pStyle w:val="Heading2"/>
        <w:spacing w:before="240" w:after="120"/>
        <w:ind w:left="0"/>
      </w:pPr>
      <w:r>
        <w:t>8.2 Go-Live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benchmarks achieved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Documentation finalized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Team training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sign-off obtained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3x live knowledge transfer sessions (recorded)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 walkthrough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Best practices documentation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Optimization recommendations</w:t>
      </w:r>
    </w:p>
    <w:p>
      <w:pPr>
        <w:pStyle w:val="Heading2"/>
        <w:spacing w:before="240" w:after="120"/>
        <w:ind w:left="0"/>
      </w:pPr>
      <w:r>
        <w:t>9.2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 calls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adjustments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Continued knowledge transfer</w:t>
      </w:r>
    </w:p>
    <w:p>
      <w:pPr>
        <w:pStyle w:val="Heading1"/>
        <w:spacing w:before="160" w:after="120"/>
        <w:ind w:left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$78,400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($10,000)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$68,400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$68,400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$39,600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$39,600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$118,800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$24,000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$24,000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$24,000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$72,000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$5,184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$5,184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$5,184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$5,184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$15,552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$147,184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($10,000)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$137,184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$68,784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$68,784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$274,752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configurations and documentation specific to their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methodologies, tools,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Service Levels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provided per agreed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period: 4 weeks with defined response times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Extended support available via managed services contract</w:t>
      </w:r>
    </w:p>
    <w:p>
      <w:pPr>
        <w:pStyle w:val="Heading2"/>
        <w:spacing w:before="240" w:after="120"/>
        <w:ind w:left="0"/>
      </w:pPr>
      <w:r>
        <w:t>11.5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2"/>
        <w:spacing w:before="240" w:after="120"/>
        <w:ind w:left="0"/>
      </w:pPr>
      <w:r>
        <w:t>11.6 Termination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Either party may terminate with 30 days written notice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Payment due for all completed 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transferred upon termination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Azure - Azure Virtual Desktop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