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SD-WAN Enterprise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presents the detailed technical design for the Cisco SD-WAN Enterprise solution, implementing a comprehensive software-defined wide area network across 150 branch locations with centralized management, application-aware routing, and integrated security. The architecture leverages Cisco vManage, vSmart, vBond, and vEdge components to deliver 99.99% network availability with 45% WAN cost reduction.</w:t>
      </w:r>
    </w:p>
    <w:p>
      <w:pPr>
        <w:pStyle w:val="Heading3"/>
        <w:spacing w:before="160" w:after="120"/>
        <w:ind w:left="0"/>
      </w:pPr>
      <w:r>
        <w:t>1.1 Design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SD-WAN fabric across 150 sites with dual transport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99.99% network availability with sub-second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WAN costs by 45% through MPLS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direct cloud connectivity to AWS and Azure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unified security with integrated firewall and threat protection</w:t>
      </w:r>
    </w:p>
    <w:p>
      <w:pPr>
        <w:pStyle w:val="Heading3"/>
        <w:spacing w:before="160" w:after="120"/>
        <w:ind w:left="0"/>
      </w:pPr>
      <w:r>
        <w:t>1.2 Solution Scope</w:t>
      </w:r>
    </w:p>
    <w:p>
      <w:r>
        <w:rPr>
          <w:rFonts w:ascii="Calibri" w:hAnsi="Calibri"/>
          <w:sz w:val="24"/>
        </w:rPr>
        <w:t>The following table outlines the components included in this design: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vManage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of 3 nodes for orchestration, monitoring, and policy management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vSmart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 pair for control plane, OMP routing, and policy distribution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vBond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Redundant orchestrators for device authentication and NAT traversal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vEdge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150 edge routers across hub, regional, and branch sites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OnRamp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 connectivity to AWS and Azure cloud environments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Stack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firewall, IPS, URL filtering, and malware protection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 and success criteria that shape the technical design decisions.</w:t>
      </w:r>
    </w:p>
    <w:p>
      <w:pPr>
        <w:pStyle w:val="Heading2"/>
        <w:spacing w:before="240" w:after="120"/>
        <w:ind w:left="0"/>
      </w:pPr>
      <w:r>
        <w:t>2.1 Business Requirements</w:t>
      </w:r>
    </w:p>
    <w:p>
      <w:r>
        <w:rPr>
          <w:rFonts w:ascii="Calibri" w:hAnsi="Calibri"/>
          <w:sz w:val="24"/>
        </w:rPr>
        <w:t>The following business requirements drive the solution design: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 ID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BR-001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Reduce WAN circuit costs by transitioning from MPLS to hybrid transport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BR-002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Enable direct cloud access for SaaS applications without backhauling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BR-003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Improve application performance through intelligent path selection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BR-004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 network management and policy enforcement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BR-005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 zero-trust security at every branch location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Requirement Id</w:t>
      </w:r>
    </w:p>
    <w:p>
      <w:pPr>
        <w:pStyle w:val="Heading2"/>
        <w:spacing w:before="240" w:after="120"/>
        <w:ind w:left="0"/>
      </w:pPr>
      <w:r>
        <w:t>2.2 Success Metrics</w:t>
      </w:r>
    </w:p>
    <w:p>
      <w:r>
        <w:rPr>
          <w:rFonts w:ascii="Calibri" w:hAnsi="Calibri"/>
          <w:sz w:val="24"/>
        </w:rPr>
        <w:t>The following metrics define project success: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Availability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Cost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$2.4M annually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$1.2M annually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Latency (SaaS)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120ms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45ms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Time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seconds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seconds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Incidents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monthly</w:t>
            </w:r>
          </w:p>
        </w:tc>
        <w:tc>
          <w:tcPr>
            <w:tcW w:type="dxa" w:w="30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3 monthly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with.</w:t>
      </w:r>
    </w:p>
    <w:p>
      <w:pPr>
        <w:pStyle w:val="Heading2"/>
        <w:spacing w:before="240" w:after="120"/>
        <w:ind w:left="0"/>
      </w:pPr>
      <w:r>
        <w:t>3.1 Existing Infrastructure</w:t>
      </w:r>
    </w:p>
    <w:p>
      <w:r>
        <w:rPr>
          <w:rFonts w:ascii="Calibri" w:hAnsi="Calibri"/>
          <w:sz w:val="24"/>
        </w:rPr>
        <w:t>The current environment consists of: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WAN Infrastructure</w:t>
      </w:r>
      <w:r>
        <w:rPr>
          <w:rFonts w:ascii="Calibri" w:hAnsi="Calibri"/>
          <w:sz w:val="24"/>
        </w:rPr>
        <w:t>: Hub-and-spoke MPLS network with 150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Edge Routers</w:t>
      </w:r>
      <w:r>
        <w:rPr>
          <w:rFonts w:ascii="Calibri" w:hAnsi="Calibri"/>
          <w:sz w:val="24"/>
        </w:rPr>
        <w:t>: Cisco ISR 4000 series at branch, ASR 1000 at data centers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Transport</w:t>
      </w:r>
      <w:r>
        <w:rPr>
          <w:rFonts w:ascii="Calibri" w:hAnsi="Calibri"/>
          <w:sz w:val="24"/>
        </w:rPr>
        <w:t>: Single MPLS provider with limited internet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</w:t>
      </w:r>
      <w:r>
        <w:rPr>
          <w:rFonts w:ascii="Calibri" w:hAnsi="Calibri"/>
          <w:sz w:val="24"/>
        </w:rPr>
        <w:t>: CLI-based configuration with limited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</w:t>
      </w:r>
      <w:r>
        <w:rPr>
          <w:rFonts w:ascii="Calibri" w:hAnsi="Calibri"/>
          <w:sz w:val="24"/>
        </w:rPr>
        <w:t>: Perimeter firewalls at data centers only</w:t>
      </w:r>
    </w:p>
    <w:p>
      <w:pPr>
        <w:pStyle w:val="Heading2"/>
        <w:spacing w:before="240" w:after="120"/>
        <w:ind w:left="0"/>
      </w:pPr>
      <w:r>
        <w:t>3.2 Pain 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High WAN costs with limited bandwidth scalability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Poor cloud application performance due to backhaul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Slow failover times causing business disruption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Manual configuration prone to errors and inconsistency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Security gaps at branch locations without local enforcement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This section presents the technical architecture for the SD-WAN fabric.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High-Level Architecture</w:t>
      </w:r>
    </w:p>
    <w:p>
      <w:pPr>
        <w:pStyle w:val="Heading3"/>
        <w:spacing w:before="160" w:after="120"/>
        <w:ind w:left="0"/>
      </w:pPr>
      <w:r>
        <w:t>4.1.1 Component Architecture</w:t>
      </w:r>
    </w:p>
    <w:p>
      <w:pPr>
        <w:pStyle w:val="Heading4"/>
        <w:spacing w:before="160" w:after="120"/>
        <w:ind w:left="0"/>
      </w:pPr>
      <w:r>
        <w:t>4.1.1.1 vManage Cluster Design</w:t>
      </w:r>
    </w:p>
    <w:p>
      <w:r>
        <w:rPr>
          <w:rFonts w:ascii="Calibri" w:hAnsi="Calibri"/>
          <w:sz w:val="24"/>
        </w:rPr>
        <w:t>The vManage orchestration platform provides centralized management: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Function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Configuration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3-node cluster with automatic leader election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Management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policies pushed to all edge devices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 dashboard with application visibility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Template Engine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and feature templates for standardized config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Management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image repository and staged upgrades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Function</w:t>
      </w:r>
    </w:p>
    <w:p>
      <w:pPr>
        <w:pStyle w:val="Heading4"/>
        <w:spacing w:before="160" w:after="120"/>
        <w:ind w:left="0"/>
      </w:pPr>
      <w:r>
        <w:t>4.1.1.2 vSmart Controller Design</w:t>
      </w:r>
    </w:p>
    <w:p>
      <w:r>
        <w:rPr>
          <w:rFonts w:ascii="Calibri" w:hAnsi="Calibri"/>
          <w:sz w:val="24"/>
        </w:rPr>
        <w:t>The vSmart controllers manage the overlay control plane: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Function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OMP Protocol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Overlay Management Protocol for route distribution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Engine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and localized policy enforcement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Reflection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Scalable route distribution to edge devices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Active-standby pair with automatic failover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Function</w:t>
      </w:r>
    </w:p>
    <w:p>
      <w:pPr>
        <w:pStyle w:val="Heading4"/>
        <w:spacing w:before="160" w:after="120"/>
        <w:ind w:left="0"/>
      </w:pPr>
      <w:r>
        <w:t>4.1.1.3 vBond Orchestrator Design</w:t>
      </w:r>
    </w:p>
    <w:p>
      <w:r>
        <w:rPr>
          <w:rFonts w:ascii="Calibri" w:hAnsi="Calibri"/>
          <w:sz w:val="24"/>
        </w:rPr>
        <w:t>The vBond orchestrators handle device onboarding: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Function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Authentication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Certificate-based device validation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 Traversal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STUN server for devices behind NAT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Controller Discovery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vSmart controller assignment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Balancing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Distribution of devices across controllers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Function</w:t>
      </w:r>
    </w:p>
    <w:p>
      <w:pPr>
        <w:pStyle w:val="Heading3"/>
        <w:spacing w:before="160" w:after="120"/>
        <w:ind w:left="0"/>
      </w:pPr>
      <w:r>
        <w:t>4.1.2 Transport Architecture</w:t>
      </w:r>
    </w:p>
    <w:p>
      <w:r>
        <w:rPr>
          <w:rFonts w:ascii="Calibri" w:hAnsi="Calibri"/>
          <w:sz w:val="24"/>
        </w:rPr>
        <w:t>The SD-WAN fabric supports multiple transport types: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Transport</w:t>
            </w:r>
          </w:p>
        </w:tc>
        <w:tc>
          <w:tcPr>
            <w:tcW w:type="dxa" w:w="28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Color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Sites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</w:tr>
      <w:tr>
        <w:tc>
          <w:tcPr>
            <w:tcW w:type="dxa" w:w="24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28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transport with SLA guarantee</w:t>
            </w:r>
          </w:p>
        </w:tc>
      </w:tr>
      <w:tr>
        <w:tc>
          <w:tcPr>
            <w:tcW w:type="dxa" w:w="24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</w:t>
            </w:r>
          </w:p>
        </w:tc>
        <w:tc>
          <w:tcPr>
            <w:tcW w:type="dxa" w:w="28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biz-internet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Secondary transport for cost optimization</w:t>
            </w:r>
          </w:p>
        </w:tc>
      </w:tr>
      <w:tr>
        <w:tc>
          <w:tcPr>
            <w:tcW w:type="dxa" w:w="24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LTE</w:t>
            </w:r>
          </w:p>
        </w:tc>
        <w:tc>
          <w:tcPr>
            <w:tcW w:type="dxa" w:w="28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lte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Tertiary backup for business continuity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Transport</w:t>
      </w:r>
    </w:p>
    <w:p>
      <w:pPr>
        <w:pStyle w:val="Heading3"/>
        <w:spacing w:before="160" w:after="120"/>
        <w:ind w:left="0"/>
      </w:pPr>
      <w:r>
        <w:t>4.1.3 Segmentation Design</w:t>
      </w:r>
    </w:p>
    <w:p>
      <w:r>
        <w:rPr>
          <w:rFonts w:ascii="Calibri" w:hAnsi="Calibri"/>
          <w:sz w:val="24"/>
        </w:rPr>
        <w:t>The network is segmented using VPN identifiers: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VPN ID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Sites</w:t>
            </w:r>
          </w:p>
        </w:tc>
      </w:tr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Transport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Underlay connectivity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</w:t>
            </w:r>
          </w:p>
        </w:tc>
      </w:tr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Corporate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 applications and data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</w:t>
            </w:r>
          </w:p>
        </w:tc>
      </w:tr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Guest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Guest and BYOD network access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</w:t>
            </w:r>
          </w:p>
        </w:tc>
      </w:tr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IoT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IoT devices and OT systems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75</w:t>
            </w:r>
          </w:p>
        </w:tc>
      </w:tr>
      <w:tr>
        <w:tc>
          <w:tcPr>
            <w:tcW w:type="dxa" w:w="18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512</w:t>
            </w:r>
          </w:p>
        </w:tc>
        <w:tc>
          <w:tcPr>
            <w:tcW w:type="dxa" w:w="29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management and monitoring</w:t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Vpn Id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defines the security architecture and compliance requirements.</w:t>
      </w:r>
    </w:p>
    <w:p>
      <w:pPr>
        <w:pStyle w:val="Heading2"/>
        <w:spacing w:before="240" w:after="120"/>
        <w:ind w:left="0"/>
      </w:pPr>
      <w:r>
        <w:t>5.1 Security Architecture</w:t>
      </w:r>
    </w:p>
    <w:p>
      <w:pPr>
        <w:pStyle w:val="Heading4"/>
        <w:spacing w:before="160" w:after="120"/>
        <w:ind w:left="0"/>
      </w:pPr>
      <w:r>
        <w:t>5.1.1 Integrated Security Stack</w:t>
      </w:r>
    </w:p>
    <w:p>
      <w:r>
        <w:rPr>
          <w:rFonts w:ascii="Calibri" w:hAnsi="Calibri"/>
          <w:sz w:val="24"/>
        </w:rPr>
        <w:t>The vEdge devices include integrated security features: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Feature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Zone-Based Firewall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Stateful inspection with 12 security zones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IPS/IDS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Snort-based threat detection with automatic updates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URL Filtering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Cloud-based categorization with 80+ categories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Malware Protection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File reputation and sandboxing via Threat Grid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DNS Security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Umbrella integration for DNS-layer protection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Feature</w:t>
      </w:r>
    </w:p>
    <w:p>
      <w:pPr>
        <w:pStyle w:val="Heading4"/>
        <w:spacing w:before="160" w:after="120"/>
        <w:ind w:left="0"/>
      </w:pPr>
      <w:r>
        <w:t>5.1.2 Encryption Standards</w:t>
      </w:r>
    </w:p>
    <w:p>
      <w:r>
        <w:rPr>
          <w:rFonts w:ascii="Calibri" w:hAnsi="Calibri"/>
          <w:sz w:val="24"/>
        </w:rPr>
        <w:t>All traffic is encrypted using industry-standard protocols: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26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Algorithm</w:t>
            </w:r>
          </w:p>
        </w:tc>
        <w:tc>
          <w:tcPr>
            <w:tcW w:type="dxa" w:w="19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Length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</w:tr>
      <w:tr>
        <w:tc>
          <w:tcPr>
            <w:tcW w:type="dxa" w:w="14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IPsec</w:t>
            </w:r>
          </w:p>
        </w:tc>
        <w:tc>
          <w:tcPr>
            <w:tcW w:type="dxa" w:w="26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AES-GCM-256</w:t>
            </w:r>
          </w:p>
        </w:tc>
        <w:tc>
          <w:tcPr>
            <w:tcW w:type="dxa" w:w="19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256-bit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plane encryption</w:t>
            </w:r>
          </w:p>
        </w:tc>
      </w:tr>
      <w:tr>
        <w:tc>
          <w:tcPr>
            <w:tcW w:type="dxa" w:w="14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DTLS</w:t>
            </w:r>
          </w:p>
        </w:tc>
        <w:tc>
          <w:tcPr>
            <w:tcW w:type="dxa" w:w="26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</w:t>
            </w:r>
          </w:p>
        </w:tc>
        <w:tc>
          <w:tcPr>
            <w:tcW w:type="dxa" w:w="19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256-bit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Control plane encryption</w:t>
            </w:r>
          </w:p>
        </w:tc>
      </w:tr>
      <w:tr>
        <w:tc>
          <w:tcPr>
            <w:tcW w:type="dxa" w:w="14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TLS 1.3</w:t>
            </w:r>
          </w:p>
        </w:tc>
        <w:tc>
          <w:tcPr>
            <w:tcW w:type="dxa" w:w="26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</w:t>
            </w:r>
          </w:p>
        </w:tc>
        <w:tc>
          <w:tcPr>
            <w:tcW w:type="dxa" w:w="19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256-bit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plane encryption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Protocol</w:t>
      </w:r>
    </w:p>
    <w:p>
      <w:pPr>
        <w:pStyle w:val="Heading2"/>
        <w:spacing w:before="240" w:after="120"/>
        <w:ind w:left="0"/>
      </w:pPr>
      <w:r>
        <w:t>5.2 Compliance Framework</w:t>
      </w:r>
    </w:p>
    <w:p>
      <w:r>
        <w:rPr>
          <w:rFonts w:ascii="Calibri" w:hAnsi="Calibri"/>
          <w:sz w:val="24"/>
        </w:rPr>
        <w:t>The solution addresses the following compliance requirements: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Controls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Validation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PCI DSS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segmentation, encryption, access control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Quarterly scans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HIPAA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PHI isolation, audit logging, encryption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Annual assessment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management, monitoring, incident response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Annual audit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Compliance Mapping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describes the configuration data and state management approach.</w:t>
      </w:r>
    </w:p>
    <w:p>
      <w:pPr>
        <w:pStyle w:val="Heading2"/>
        <w:spacing w:before="240" w:after="120"/>
        <w:ind w:left="0"/>
      </w:pPr>
      <w:r>
        <w:t>6.1 Configuration Data Model</w:t>
      </w:r>
    </w:p>
    <w:p>
      <w:pPr>
        <w:pStyle w:val="Heading2"/>
        <w:spacing w:before="240" w:after="120"/>
        <w:ind w:left="0"/>
      </w:pPr>
      <w:r>
        <w:t>6.2 Template Hierarchy</w:t>
      </w:r>
    </w:p>
    <w:p>
      <w:r>
        <w:rPr>
          <w:rFonts w:ascii="Calibri" w:hAnsi="Calibri"/>
          <w:sz w:val="24"/>
        </w:rPr>
        <w:t>Device configurations follow a hierarchical template model: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Template Level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Template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Complete device configuration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Feature Template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Individual feature configuration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45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Template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Traffic and security policies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Localized Policy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Site-specific parameters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Template Level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defines the integration approach with external systems.</w:t>
      </w:r>
    </w:p>
    <w:p>
      <w:pPr>
        <w:pStyle w:val="Heading2"/>
        <w:spacing w:before="240" w:after="120"/>
        <w:ind w:left="0"/>
      </w:pPr>
      <w:r>
        <w:t>7.1 Cloud Integration</w:t>
      </w:r>
    </w:p>
    <w:p>
      <w:r>
        <w:rPr>
          <w:rFonts w:ascii="Calibri" w:hAnsi="Calibri"/>
          <w:sz w:val="24"/>
        </w:rPr>
        <w:t>The SD-WAN fabric integrates with cloud providers: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Cloud Provider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Integration</w:t>
            </w:r>
          </w:p>
        </w:tc>
        <w:tc>
          <w:tcPr>
            <w:tcW w:type="dxa" w:w="12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Bandwidth</w:t>
            </w:r>
          </w:p>
        </w:tc>
        <w:tc>
          <w:tcPr>
            <w:tcW w:type="dxa" w:w="27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</w:tr>
      <w:tr>
        <w:tc>
          <w:tcPr>
            <w:tcW w:type="dxa" w:w="20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OnRamp via Transit Gateway</w:t>
            </w:r>
          </w:p>
        </w:tc>
        <w:tc>
          <w:tcPr>
            <w:tcW w:type="dxa" w:w="12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Gbps</w:t>
            </w:r>
          </w:p>
        </w:tc>
        <w:tc>
          <w:tcPr>
            <w:tcW w:type="dxa" w:w="27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workloads</w:t>
            </w:r>
          </w:p>
        </w:tc>
      </w:tr>
      <w:tr>
        <w:tc>
          <w:tcPr>
            <w:tcW w:type="dxa" w:w="20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OnRamp via ExpressRoute</w:t>
            </w:r>
          </w:p>
        </w:tc>
        <w:tc>
          <w:tcPr>
            <w:tcW w:type="dxa" w:w="12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Gbps</w:t>
            </w:r>
          </w:p>
        </w:tc>
        <w:tc>
          <w:tcPr>
            <w:tcW w:type="dxa" w:w="27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 and DR</w:t>
            </w:r>
          </w:p>
        </w:tc>
      </w:tr>
      <w:tr>
        <w:tc>
          <w:tcPr>
            <w:tcW w:type="dxa" w:w="20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365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 Internet Access</w:t>
            </w:r>
          </w:p>
        </w:tc>
        <w:tc>
          <w:tcPr>
            <w:tcW w:type="dxa" w:w="12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Variable</w:t>
            </w:r>
          </w:p>
        </w:tc>
        <w:tc>
          <w:tcPr>
            <w:tcW w:type="dxa" w:w="27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SaaS optimization</w:t>
            </w:r>
          </w:p>
        </w:tc>
      </w:tr>
      <w:tr>
        <w:tc>
          <w:tcPr>
            <w:tcW w:type="dxa" w:w="20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Webex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QoS-prioritized routing</w:t>
            </w:r>
          </w:p>
        </w:tc>
        <w:tc>
          <w:tcPr>
            <w:tcW w:type="dxa" w:w="12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Variable</w:t>
            </w:r>
          </w:p>
        </w:tc>
        <w:tc>
          <w:tcPr>
            <w:tcW w:type="dxa" w:w="27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Collaboration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Cloud Provider</w:t>
      </w:r>
    </w:p>
    <w:p>
      <w:pPr>
        <w:pStyle w:val="Heading2"/>
        <w:spacing w:before="240" w:after="120"/>
        <w:ind w:left="0"/>
      </w:pPr>
      <w:r>
        <w:t>7.2 External System Integrations</w:t>
      </w:r>
    </w:p>
    <w:p>
      <w:r>
        <w:rPr>
          <w:rFonts w:ascii="Calibri" w:hAnsi="Calibri"/>
          <w:sz w:val="24"/>
        </w:rPr>
        <w:t>The solution integrates with enterprise systems: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28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Integration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32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ServiceNow</w:t>
            </w:r>
          </w:p>
        </w:tc>
        <w:tc>
          <w:tcPr>
            <w:tcW w:type="dxa" w:w="28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 API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management and incident tickets</w:t>
            </w:r>
          </w:p>
        </w:tc>
      </w:tr>
      <w:tr>
        <w:tc>
          <w:tcPr>
            <w:tcW w:type="dxa" w:w="32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Splunk</w:t>
            </w:r>
          </w:p>
        </w:tc>
        <w:tc>
          <w:tcPr>
            <w:tcW w:type="dxa" w:w="28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Syslog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and operational logging</w:t>
            </w:r>
          </w:p>
        </w:tc>
      </w:tr>
      <w:tr>
        <w:tc>
          <w:tcPr>
            <w:tcW w:type="dxa" w:w="32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NetBox</w:t>
            </w:r>
          </w:p>
        </w:tc>
        <w:tc>
          <w:tcPr>
            <w:tcW w:type="dxa" w:w="28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 API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IPAM and device inventory</w:t>
            </w:r>
          </w:p>
        </w:tc>
      </w:tr>
      <w:tr>
        <w:tc>
          <w:tcPr>
            <w:tcW w:type="dxa" w:w="32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DNA Center</w:t>
            </w:r>
          </w:p>
        </w:tc>
        <w:tc>
          <w:tcPr>
            <w:tcW w:type="dxa" w:w="28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Campus network coordination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System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defines the infrastructure requirements and operational procedures.</w:t>
      </w:r>
    </w:p>
    <w:p>
      <w:pPr>
        <w:pStyle w:val="Heading2"/>
        <w:spacing w:before="240" w:after="120"/>
        <w:ind w:left="0"/>
      </w:pPr>
      <w:r>
        <w:t>8.1 Hardware Requirements</w:t>
      </w:r>
    </w:p>
    <w:p>
      <w:r>
        <w:rPr>
          <w:rFonts w:ascii="Calibri" w:hAnsi="Calibri"/>
          <w:sz w:val="24"/>
        </w:rPr>
        <w:t>The following hardware is deployed: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Model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(VMware)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Center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vSmart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(VMware)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Center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vBond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(VMware)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DMZ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vEdge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4451-X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Sites (HA)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 vEdge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4431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 Sites (HA)</w:t>
            </w:r>
          </w:p>
        </w:tc>
      </w:tr>
      <w:tr>
        <w:tc>
          <w:tcPr>
            <w:tcW w:type="dxa" w:w="23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vEdge</w:t>
            </w:r>
          </w:p>
        </w:tc>
        <w:tc>
          <w:tcPr>
            <w:tcW w:type="dxa" w:w="2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4331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105</w:t>
            </w:r>
          </w:p>
        </w:tc>
        <w:tc>
          <w:tcPr>
            <w:tcW w:type="dxa" w:w="31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Sites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2"/>
        <w:spacing w:before="240" w:after="120"/>
        <w:ind w:left="0"/>
      </w:pPr>
      <w:r>
        <w:t>8.2 High Availability Design</w:t>
      </w:r>
    </w:p>
    <w:p>
      <w:r>
        <w:rPr>
          <w:rFonts w:ascii="Calibri" w:hAnsi="Calibri"/>
          <w:sz w:val="24"/>
        </w:rPr>
        <w:t>The solution implements multiple HA layers: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HA Strategy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RPO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Cluster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3-node cluster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vSmart Controllers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Active-standby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sec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vBond Orchestrators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Active-active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vEdge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HA pair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sec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Dual WAN + LTE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sec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2"/>
        <w:spacing w:before="240" w:after="120"/>
        <w:ind w:left="0"/>
      </w:pPr>
      <w:r>
        <w:t>8.3 Monitoring Architecture</w:t>
      </w:r>
    </w:p>
    <w:p>
      <w:r>
        <w:rPr>
          <w:rFonts w:ascii="Calibri" w:hAnsi="Calibri"/>
          <w:sz w:val="24"/>
        </w:rPr>
        <w:t>The following monitoring tools are deployed: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Dashboard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Tunnel status, BFD, OMP routes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AppQoE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Latency, loss, jitter per app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Security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Threats, blocks, compliance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Splunk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Syslog, SNMP, NetFlow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Layer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describes the phased delivery approach and risk mitigation strategies.</w:t>
      </w:r>
    </w:p>
    <w:p>
      <w:pPr>
        <w:pStyle w:val="Heading2"/>
        <w:spacing w:before="240" w:after="120"/>
        <w:ind w:left="0"/>
      </w:pPr>
      <w:r>
        <w:t>9.1 Phased Delivery</w:t>
      </w:r>
    </w:p>
    <w:p>
      <w:r>
        <w:rPr>
          <w:rFonts w:ascii="Calibri" w:hAnsi="Calibri"/>
          <w:sz w:val="24"/>
        </w:rPr>
        <w:t>The implementation follows a phased approach: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survey, traffic analysis, design workshop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vManage, vSmart, vBond deployment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policies, QoS, security zones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1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 sites (5 locations)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2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sites (10 locations)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3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 sites (35 locations)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4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Wave 1 (50 locations)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5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Wave 2 (50 locations)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Functional, failover, performance testing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Stabilization and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9.2 Risk Mitigation</w:t>
      </w:r>
    </w:p>
    <w:p>
      <w:r>
        <w:rPr>
          <w:rFonts w:ascii="Calibri" w:hAnsi="Calibri"/>
          <w:sz w:val="24"/>
        </w:rPr>
        <w:t>The following risks and mitigations are identified: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Transport circuit delays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Early circuit ordering, backup LTE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compatibility issues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Pre-deployment validation lab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complexity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policy deployment, rollback procedures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resistance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Training, communication plan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Site Classification</w:t>
      </w:r>
    </w:p>
    <w:p>
      <w:r>
        <w:rPr>
          <w:rFonts w:ascii="Calibri" w:hAnsi="Calibri"/>
          <w:sz w:val="24"/>
        </w:rPr>
        <w:t>The following site types are defined: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Site Type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Transport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vEdge Model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HA</w:t>
            </w:r>
          </w:p>
        </w:tc>
      </w:tr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Center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4451-X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4451-X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35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4431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 Branch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55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4331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</w:t>
            </w:r>
          </w:p>
        </w:tc>
      </w:tr>
      <w:tr>
        <w:tc>
          <w:tcPr>
            <w:tcW w:type="dxa" w:w="25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Small Branch</w:t>
            </w:r>
          </w:p>
        </w:tc>
        <w:tc>
          <w:tcPr>
            <w:tcW w:type="dxa" w:w="10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</w:t>
            </w:r>
          </w:p>
        </w:tc>
        <w:tc>
          <w:tcPr>
            <w:tcW w:type="dxa" w:w="28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+ LTE</w:t>
            </w:r>
          </w:p>
        </w:tc>
        <w:tc>
          <w:tcPr>
            <w:tcW w:type="dxa" w:w="22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ISR 4331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20</w:t>
      </w:r>
      <w:r>
        <w:fldChar w:fldCharType="end"/>
      </w:r>
      <w:r>
        <w:rPr>
          <w:rFonts w:ascii="Calibri" w:hAnsi="Calibri"/>
          <w:sz w:val="20"/>
        </w:rPr>
        <w:t>: Site Type</w:t>
      </w:r>
    </w:p>
    <w:p>
      <w:pPr>
        <w:pStyle w:val="Heading2"/>
        <w:spacing w:before="240" w:after="120"/>
        <w:ind w:left="0"/>
      </w:pPr>
      <w:r>
        <w:t>10.2 Appendix B: Application Policy Reference</w:t>
      </w:r>
    </w:p>
    <w:p>
      <w:r>
        <w:rPr>
          <w:rFonts w:ascii="Calibri" w:hAnsi="Calibri"/>
          <w:sz w:val="24"/>
        </w:rPr>
        <w:t>The following application policies are configured: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Policy ID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 Class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 Preference</w:t>
            </w:r>
          </w:p>
        </w:tc>
      </w:tr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APP-001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Voice (RTP)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preferred</w:t>
            </w:r>
          </w:p>
        </w:tc>
      </w:tr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APP-002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Video (WebRTC)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preferred</w:t>
            </w:r>
          </w:p>
        </w:tc>
      </w:tr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APP-003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SAP/ERP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Business-critical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required</w:t>
            </w:r>
          </w:p>
        </w:tc>
      </w:tr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APP-004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365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SaaS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 Internet</w:t>
            </w:r>
          </w:p>
        </w:tc>
      </w:tr>
      <w:tr>
        <w:tc>
          <w:tcPr>
            <w:tcW w:type="dxa" w:w="1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APP-005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Webex</w:t>
            </w:r>
          </w:p>
        </w:tc>
        <w:tc>
          <w:tcPr>
            <w:tcW w:type="dxa" w:w="27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25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Any available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21</w:t>
      </w:r>
      <w:r>
        <w:fldChar w:fldCharType="end"/>
      </w:r>
      <w:r>
        <w:rPr>
          <w:rFonts w:ascii="Calibri" w:hAnsi="Calibri"/>
          <w:sz w:val="20"/>
        </w:rPr>
        <w:t>: Policy Id</w:t>
      </w:r>
    </w:p>
    <w:p>
      <w:pPr>
        <w:pStyle w:val="Heading2"/>
        <w:spacing w:before="240" w:after="120"/>
        <w:ind w:left="0"/>
      </w:pPr>
      <w:r>
        <w:t>10.3 Appendix C: Glossary</w:t>
      </w:r>
    </w:p>
    <w:p>
      <w:r>
        <w:rPr>
          <w:rFonts w:ascii="Calibri" w:hAnsi="Calibri"/>
          <w:sz w:val="24"/>
        </w:rPr>
        <w:t>The following terms are used throughout this document: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SD-WAN management and orchestration platform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vSmart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SD-WAN control plane controller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vBond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SD-WAN orchestrator for device onboarding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vEdge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SD-WAN edge router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OMP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Overlay Management Protocol for SD-WAN routing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TLOC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Transport Location - endpoint for SD-WAN tunnels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BFD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 Forwarding Detection for fast failover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DIA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 Internet Access for cloud and SaaS traffic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22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Cisco SD-WAN Enterprise Implementation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