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Juniper - SRX Firewall Platform Implementation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r>
        <w:rPr>
          <w:rFonts w:ascii="Calibri" w:hAnsi="Calibri"/>
          <w:b/>
          <w:sz w:val="24"/>
        </w:rPr>
        <w:t>Client:</w:t>
      </w:r>
      <w:r>
        <w:rPr>
          <w:rFonts w:ascii="Calibri" w:hAnsi="Calibri"/>
          <w:sz w:val="24"/>
        </w:rPr>
        <w:t xml:space="preserve"> [CLIENT_NAME]</w:t>
      </w:r>
    </w:p>
    <w:p>
      <w:r>
        <w:rPr>
          <w:rFonts w:ascii="Calibri" w:hAnsi="Calibri"/>
          <w:b/>
          <w:sz w:val="24"/>
        </w:rPr>
        <w:t>Project:</w:t>
      </w:r>
      <w:r>
        <w:rPr>
          <w:rFonts w:ascii="Calibri" w:hAnsi="Calibri"/>
          <w:sz w:val="24"/>
        </w:rPr>
        <w:t xml:space="preserve"> Juniper SRX Firewall Platform Implementation</w:t>
      </w:r>
    </w:p>
    <w:p>
      <w:r>
        <w:rPr>
          <w:rFonts w:ascii="Calibri" w:hAnsi="Calibri"/>
          <w:b/>
          <w:sz w:val="24"/>
        </w:rPr>
        <w:t>SOW Number:</w:t>
      </w:r>
      <w:r>
        <w:rPr>
          <w:rFonts w:ascii="Calibri" w:hAnsi="Calibri"/>
          <w:sz w:val="24"/>
        </w:rPr>
        <w:t xml:space="preserve"> [SOW_NUMBER]</w:t>
      </w:r>
    </w:p>
    <w:p>
      <w:pPr>
        <w:pStyle w:val="Heading1"/>
        <w:spacing w:before="160" w:after="120"/>
        <w:ind w:left="0"/>
      </w:pPr>
      <w:r>
        <w:t>1 Executive Summary</w:t>
      </w:r>
    </w:p>
    <w:p>
      <w:pPr>
        <w:pStyle w:val="Heading3"/>
        <w:spacing w:before="160" w:after="120"/>
        <w:ind w:left="0"/>
      </w:pPr>
      <w:r>
        <w:t>1.1 1.1 Project Overview</w:t>
      </w:r>
    </w:p>
    <w:p>
      <w:r>
        <w:rPr>
          <w:rFonts w:ascii="Calibri" w:hAnsi="Calibri"/>
          <w:sz w:val="24"/>
        </w:rPr>
        <w:t>This Statement of Work (SOW) outlines the scope, deliverables, timeline, and terms for the implementation of Juniper SRX Firewall Platform for [CLIENT_NAME]. The project will deliver next-generation security infrastructure with 8x performance improvement and 40% cost reduction through deployment of enterprise-grade Juniper SRX firewalls with advanced threat prevention capabilities.</w:t>
      </w:r>
    </w:p>
    <w:p>
      <w:pPr>
        <w:pStyle w:val="Heading3"/>
        <w:spacing w:before="160" w:after="120"/>
        <w:ind w:left="0"/>
      </w:pPr>
      <w:r>
        <w:t>1.2 1.2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Primary Goal:</w:t>
      </w:r>
      <w:r>
        <w:rPr>
          <w:rFonts w:ascii="Calibri" w:hAnsi="Calibri"/>
          <w:sz w:val="24"/>
        </w:rPr>
        <w:t xml:space="preserve"> Replace aging firewall infrastructure with high-performance SRX platform delivering 80 Gbps throughput, advanced threat prevention, and multi-cloud security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Success Metrics:</w:t>
      </w:r>
      <w:r>
        <w:rPr>
          <w:rFonts w:ascii="Calibri" w:hAnsi="Calibri"/>
          <w:sz w:val="24"/>
        </w:rPr>
        <w:t xml:space="preserve"> 80 Gbps firewall throughput with IPS enabled, 70% reduction in security incident response time, unified policy management across 20+ devices, 99.9% uptime with HA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Expected ROI:</w:t>
      </w:r>
      <w:r>
        <w:rPr>
          <w:rFonts w:ascii="Calibri" w:hAnsi="Calibri"/>
          <w:sz w:val="24"/>
        </w:rPr>
        <w:t xml:space="preserve"> 40% cost reduction over 3 years compared to incumbent firewall renewal, with measurable performance improvements and security enhancements</w:t>
      </w:r>
    </w:p>
    <w:p>
      <w:pPr>
        <w:pStyle w:val="Heading3"/>
        <w:spacing w:before="160" w:after="120"/>
        <w:ind w:left="0"/>
      </w:pPr>
      <w:r>
        <w:t>1.3 1.3 Project Duration</w:t>
      </w:r>
    </w:p>
    <w:p>
      <w:r>
        <w:rPr>
          <w:rFonts w:ascii="Calibri" w:hAnsi="Calibri"/>
          <w:b/>
          <w:sz w:val="24"/>
        </w:rPr>
        <w:t>Total Duration:</w:t>
      </w:r>
      <w:r>
        <w:rPr>
          <w:rFonts w:ascii="Calibri" w:hAnsi="Calibri"/>
          <w:sz w:val="24"/>
        </w:rPr>
        <w:t xml:space="preserve"> 12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Current firewall infrastructure based on aging hardware with performance limitations and increasing security requirements.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Replace aging firewall infrastructure with 8x performance improvement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Reduce security licensing costs by 40% while gaining advanced threat prevention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 seamless multi-cloud security with native AWS, Azure, and GCP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Achieve 80 Gbps throughput with full IPS and SSL inspection enabled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80 Gbps firewall throughput with full security services operational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70% reduction in security incident response time through automated threat intelligence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Unified security policy management across 20+ datacenter and branch firewalls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99.9% uptime with sub-second HA failover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3"/>
        <w:spacing w:before="160" w:after="120"/>
        <w:ind w:left="0"/>
      </w:pPr>
      <w:r>
        <w:t>3.1 2.0 Engagement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Datacenter Firewalls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SRX4600 (HA pair)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Branch Firewalls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SRX300 branch sites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Firewall Rules to Migrate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 firewall rules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External System Integrations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integrations (SIEM NAC)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VPN Tunnels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30 site-to-site + 100 SSL VPN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Administrators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firewall administrators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Remote Users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 SSL VPN users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Firewall Throughput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80 Gbps datacenter firewall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IPS Throughput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40 Gbps IPS inspection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Locations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datacenter + 10 branches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availability (99.9%)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Complexity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Active/passive HA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Services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IPS ATP Cloud SecIntel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Compliance Frameworks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PCI DSS SOC 2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Inspection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L3/L4 + IPS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Session Capacity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million concurrent sessions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Environments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environments (lab prod)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3"/>
        <w:spacing w:before="160" w:after="120"/>
        <w:ind w:left="0"/>
      </w:pPr>
      <w:r>
        <w:t>3.2 2.1 In-Scope Activities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pStyle w:val="Heading4"/>
        <w:spacing w:before="160" w:after="120"/>
        <w:ind w:left="0"/>
      </w:pPr>
      <w:r>
        <w:t>3.2.1 2.1.1 Discovery &amp; Planning Phase (Weeks 1-4)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Security architecture design including network zones, segmentation, and traffic 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Current state assessment of existing firewall policies, rules, and configurations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Policy migration analysis with optimization and consolidation recommendations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Lab validation environment setup for testing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Detailed implementation plan with cutover strategy and rollback procedures</w:t>
      </w:r>
    </w:p>
    <w:p>
      <w:pPr>
        <w:pStyle w:val="Heading4"/>
        <w:spacing w:before="160" w:after="120"/>
        <w:ind w:left="0"/>
      </w:pPr>
      <w:r>
        <w:t>3.2.2 2.1.2 Datacenter Deployment Phase (Weeks 5-8)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SRX4600 HA pair deployment with hardware installation and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Base configuration including network interfaces, routing, and zones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Security policy migration and implementation (500+ firewall rules)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Advanced security services configuration (IPS, ATP, SecIntel, SSL inspection)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Zone-by-zone traffic migration with parallel infrastructure approach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High availability testing and failover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Performance testing validating 80 Gbps throughput with security services enabled</w:t>
      </w:r>
    </w:p>
    <w:p>
      <w:pPr>
        <w:pStyle w:val="Heading4"/>
        <w:spacing w:before="160" w:after="120"/>
        <w:ind w:left="0"/>
      </w:pPr>
      <w:r>
        <w:t>3.2.3 2.1.3 Branch Deployment Phase (Weeks 9-11)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SRX300 branch firewall deployment at 10 locations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SD-WAN configuration for application-based routing and WAN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Site-to-site VPN configuration connecting branches to datacenter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Remote access VPN setup for mobile users (SSL VPN)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Standardized security policy deployment across all branch locations</w:t>
      </w:r>
    </w:p>
    <w:p>
      <w:pPr>
        <w:pStyle w:val="Heading4"/>
        <w:spacing w:before="160" w:after="120"/>
        <w:ind w:left="0"/>
      </w:pPr>
      <w:r>
        <w:t>3.2.4 2.1.4 Management &amp; Integration Phase (Weeks 5-11)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Junos Space Security Director installation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Centralized policy management for all SRX devices (datacenter and branch)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SIEM integration (Splunk) for security event logging and correlation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NetFlow configuration for traffic visibility and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Cloud VPN integration with AWS, Azure, and GCP environments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Monitoring and alerting configuration for performance and security events</w:t>
      </w:r>
    </w:p>
    <w:p>
      <w:pPr>
        <w:pStyle w:val="Heading4"/>
        <w:spacing w:before="160" w:after="120"/>
        <w:ind w:left="0"/>
      </w:pPr>
      <w:r>
        <w:t>3.2.5 2.1.5 Optimization &amp; Handoff Phase (Week 12)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Security policy tuning based on traffic patterns and threat intelligence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Performance optimization for throughput, latency, and application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Administrator training on SRX management and Junos OS (16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Security operations training on policy management and troubleshooting (8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Documentation delivery including as-built diagrams, runbooks, and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Production handoff and knowledge transfer to operations team</w:t>
      </w:r>
    </w:p>
    <w:p>
      <w:pPr>
        <w:pStyle w:val="Heading3"/>
        <w:spacing w:before="160" w:after="120"/>
        <w:ind w:left="0"/>
      </w:pPr>
      <w:r>
        <w:t>3.3 2.2 Out-of-Scope Activities</w:t>
      </w:r>
    </w:p>
    <w:p>
      <w:r>
        <w:rPr>
          <w:rFonts w:ascii="Calibri" w:hAnsi="Calibri"/>
          <w:sz w:val="24"/>
        </w:rPr>
        <w:t>The following activities are explicitly excluded from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Hardware procurement (client responsible for purchasing SRX equipment)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Datacenter rack space, power, and cooling infrastructure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WAN circuit provisioning or bandwidth upgrades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Decommissioning of legacy firewall equipment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Network infrastructure modifications beyond firewall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Ongoing operational support beyond 30-day warranty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Custom application signatures or policy development beyond standard rulesets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Security audit or penetration testing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Compliance certification services (PCI DSS, SOC 2, HIPAA assessments)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p>
      <w:pPr>
        <w:pStyle w:val="Heading3"/>
        <w:spacing w:before="160" w:after="120"/>
        <w:ind w:left="0"/>
      </w:pPr>
      <w:r>
        <w:t>4.1.1 3.1 Documentation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Format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Security Architecture Document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zones, segmentation strategy, traffic flows, and security design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PDF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Policy Migration Analysis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Existing policy review, optimization recommendations, and migration plan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Excel/PDF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Implementation Plan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Detailed timeline, cutover strategy, rollback procedures, and risk mitigation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MS Project/PDF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Configuration Standards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SRX configuration templates, naming conventions, and best practices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PDF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Test Results Report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Lab validation, performance testing, HA failover testing, and security validation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PDF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As-Built Documentation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Final network diagrams, zone architecture, policy documentation, and configurations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PDF/Visio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Operations Runbook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SRX administration procedures, troubleshooting guides, and escalation procedures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PDF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Training Materials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Administrator guides, quick reference cards, and recorded training sessions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PDF/Video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Deliverables And Timeline</w:t>
      </w:r>
    </w:p>
    <w:p>
      <w:pPr>
        <w:pStyle w:val="Heading3"/>
        <w:spacing w:before="160" w:after="120"/>
        <w:ind w:left="0"/>
      </w:pPr>
      <w:r>
        <w:t>4.1.2 3.2 System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Criteria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SRX4600 Datacenter HA Pair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Active/passive HA configuration with 80 Gbps throughput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Passes performance testing, HA failover &lt; 1 second, all security services enabled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10x SRX300 Branch Firewalls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Branch security with SD-WAN integration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Consistent security policies, VPN connectivity operational, SD-WAN routing validated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Security Director Platform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Centralized policy management for 20+ devices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devices managed, policies deployed successfully, monitoring operational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Advanced Security Services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IPS, ATP Cloud, SecIntel, SSL inspection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Threat detection validated, zero-day malware blocked, C2 communications prevented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VPN Infrastructure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30 site-to-site tunnels + 100 remote access users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tunnels operational, failover tested, user authentication validated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Monitoring &amp; Integration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SIEM integration, NetFlow, CloudWatch logging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events forwarded, traffic visibility confirmed, alerts functional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Deliverables And Timeline</w:t>
      </w:r>
    </w:p>
    <w:p>
      <w:pPr>
        <w:pStyle w:val="Heading3"/>
        <w:spacing w:before="160" w:after="120"/>
        <w:ind w:left="0"/>
      </w:pPr>
      <w:r>
        <w:t>4.1.3 3.3 Knowledge Transfer Deliverables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SRX administrator training (2 days, up to 8 participants) covering Junos OS, security policies, and HA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operations training (1 day, up to 10 participants) covering policy management, threat investigation, and troubleshooting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Technical documentation including architecture diagrams, configuration guides, and operational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Recorded training sessions for future reference and new team member onboarding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4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7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7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Start Date</w:t>
            </w:r>
          </w:p>
        </w:tc>
        <w:tc>
          <w:tcPr>
            <w:tcW w:type="dxa" w:w="7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End Date</w:t>
            </w:r>
          </w:p>
        </w:tc>
        <w:tc>
          <w:tcPr>
            <w:tcW w:type="dxa" w:w="34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Key Milestones</w:t>
            </w:r>
          </w:p>
        </w:tc>
      </w:tr>
      <w:tr>
        <w:tc>
          <w:tcPr>
            <w:tcW w:type="dxa" w:w="34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Discovery &amp; Planning</w:t>
            </w:r>
          </w:p>
        </w:tc>
        <w:tc>
          <w:tcPr>
            <w:tcW w:type="dxa" w:w="7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weeks</w:t>
            </w:r>
          </w:p>
        </w:tc>
        <w:tc>
          <w:tcPr>
            <w:tcW w:type="dxa" w:w="7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7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34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Architecture designed, Policy migration plan approved, Lab validation completed</w:t>
            </w:r>
          </w:p>
        </w:tc>
      </w:tr>
      <w:tr>
        <w:tc>
          <w:tcPr>
            <w:tcW w:type="dxa" w:w="34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Datacenter Deployment</w:t>
            </w:r>
          </w:p>
        </w:tc>
        <w:tc>
          <w:tcPr>
            <w:tcW w:type="dxa" w:w="7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weeks</w:t>
            </w:r>
          </w:p>
        </w:tc>
        <w:tc>
          <w:tcPr>
            <w:tcW w:type="dxa" w:w="7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7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34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SRX4600 HA deployed, Traffic migrated zone-by-zone, Security services enabled</w:t>
            </w:r>
          </w:p>
        </w:tc>
      </w:tr>
      <w:tr>
        <w:tc>
          <w:tcPr>
            <w:tcW w:type="dxa" w:w="34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Branch Deployment</w:t>
            </w:r>
          </w:p>
        </w:tc>
        <w:tc>
          <w:tcPr>
            <w:tcW w:type="dxa" w:w="7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weeks</w:t>
            </w:r>
          </w:p>
        </w:tc>
        <w:tc>
          <w:tcPr>
            <w:tcW w:type="dxa" w:w="7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7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34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SRX300 deployed, SD-WAN operational, VPN tunnels established</w:t>
            </w:r>
          </w:p>
        </w:tc>
      </w:tr>
      <w:tr>
        <w:tc>
          <w:tcPr>
            <w:tcW w:type="dxa" w:w="34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Optimization &amp; Handoff</w:t>
            </w:r>
          </w:p>
        </w:tc>
        <w:tc>
          <w:tcPr>
            <w:tcW w:type="dxa" w:w="7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week</w:t>
            </w:r>
          </w:p>
        </w:tc>
        <w:tc>
          <w:tcPr>
            <w:tcW w:type="dxa" w:w="7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79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34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Policies optimized, Training completed, Documentation delivered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Deliverables And Timeline</w:t>
      </w:r>
    </w:p>
    <w:p>
      <w:pPr>
        <w:pStyle w:val="Heading3"/>
        <w:spacing w:before="160" w:after="120"/>
        <w:ind w:left="0"/>
      </w:pPr>
      <w:r>
        <w:t>4.2.1 4.2 Critical Milestones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Week 2:</w:t>
      </w:r>
      <w:r>
        <w:rPr>
          <w:rFonts w:ascii="Calibri" w:hAnsi="Calibri"/>
          <w:sz w:val="24"/>
        </w:rPr>
        <w:t xml:space="preserve"> Security architecture design review and approval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Week 4:</w:t>
      </w:r>
      <w:r>
        <w:rPr>
          <w:rFonts w:ascii="Calibri" w:hAnsi="Calibri"/>
          <w:sz w:val="24"/>
        </w:rPr>
        <w:t xml:space="preserve"> Lab validation completed with successful policy migration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Week 6:</w:t>
      </w:r>
      <w:r>
        <w:rPr>
          <w:rFonts w:ascii="Calibri" w:hAnsi="Calibri"/>
          <w:sz w:val="24"/>
        </w:rPr>
        <w:t xml:space="preserve"> First datacenter zone migrated to SRX4600 with production traffic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Week 8:</w:t>
      </w:r>
      <w:r>
        <w:rPr>
          <w:rFonts w:ascii="Calibri" w:hAnsi="Calibri"/>
          <w:sz w:val="24"/>
        </w:rPr>
        <w:t xml:space="preserve"> Datacenter migration completed with all zones operational on SRX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Week 9:</w:t>
      </w:r>
      <w:r>
        <w:rPr>
          <w:rFonts w:ascii="Calibri" w:hAnsi="Calibri"/>
          <w:sz w:val="24"/>
        </w:rPr>
        <w:t xml:space="preserve"> First branch pilot site deployed with SD-WAN operational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Week 11:</w:t>
      </w:r>
      <w:r>
        <w:rPr>
          <w:rFonts w:ascii="Calibri" w:hAnsi="Calibri"/>
          <w:sz w:val="24"/>
        </w:rPr>
        <w:t xml:space="preserve"> All 10 branch sites deployed with centralized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Week 12:</w:t>
      </w:r>
      <w:r>
        <w:rPr>
          <w:rFonts w:ascii="Calibri" w:hAnsi="Calibri"/>
          <w:sz w:val="24"/>
        </w:rPr>
        <w:t xml:space="preserve"> Project acceptance and production handoff</w:t>
      </w:r>
    </w:p>
    <w:p>
      <w:pPr>
        <w:pStyle w:val="Heading3"/>
        <w:spacing w:before="160" w:after="120"/>
        <w:ind w:left="0"/>
      </w:pPr>
      <w:r>
        <w:t>4.2.2 4.3 Critical Dependencies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Client provides timely access to datacenter facilities, network diagrams, and existing firewall configurations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Network and security teams available for requirements gathering, testing, and cutover activities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Maintenance windows approved for low-risk traffic migration during off-peak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SRX hardware delivered with 2-week lead time from project kickoff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SIEM and monitoring system access for integration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Cloud environment access (AWS, Azure, GCP) for VPN configuration and testing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3"/>
        <w:spacing w:before="160" w:after="120"/>
        <w:ind w:left="0"/>
      </w:pPr>
      <w:r>
        <w:t>5.1 5.1 Vendor Responsibilities ([VENDOR_NAME])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Project Manager:</w:t>
      </w:r>
      <w:r>
        <w:rPr>
          <w:rFonts w:ascii="Calibri" w:hAnsi="Calibri"/>
          <w:sz w:val="24"/>
        </w:rPr>
        <w:t xml:space="preserve"> Overall project coordination, timeline management, and stakeholder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Architect:</w:t>
      </w:r>
      <w:r>
        <w:rPr>
          <w:rFonts w:ascii="Calibri" w:hAnsi="Calibri"/>
          <w:sz w:val="24"/>
        </w:rPr>
        <w:t xml:space="preserve"> Security design, policy migration strategy, and architecture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Senior Implementation Engineer:</w:t>
      </w:r>
      <w:r>
        <w:rPr>
          <w:rFonts w:ascii="Calibri" w:hAnsi="Calibri"/>
          <w:sz w:val="24"/>
        </w:rPr>
        <w:t xml:space="preserve"> SRX deployment, configuration, and advanced security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Engineer:</w:t>
      </w:r>
      <w:r>
        <w:rPr>
          <w:rFonts w:ascii="Calibri" w:hAnsi="Calibri"/>
          <w:sz w:val="24"/>
        </w:rPr>
        <w:t xml:space="preserve"> Routing, VPN, and SD-WAN configuration and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Training Specialist:</w:t>
      </w:r>
      <w:r>
        <w:rPr>
          <w:rFonts w:ascii="Calibri" w:hAnsi="Calibri"/>
          <w:sz w:val="24"/>
        </w:rPr>
        <w:t xml:space="preserve"> Administrator and operations training delivery and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Engineer:</w:t>
      </w:r>
      <w:r>
        <w:rPr>
          <w:rFonts w:ascii="Calibri" w:hAnsi="Calibri"/>
          <w:sz w:val="24"/>
        </w:rPr>
        <w:t xml:space="preserve"> Post-deployment support during 30-day warranty period</w:t>
      </w:r>
    </w:p>
    <w:p>
      <w:pPr>
        <w:pStyle w:val="Heading3"/>
        <w:spacing w:before="160" w:after="120"/>
        <w:ind w:left="0"/>
      </w:pPr>
      <w:r>
        <w:t>5.2 5.2 Client Responsibilities ([CLIENT_NAME])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Project Sponsor:</w:t>
      </w:r>
      <w:r>
        <w:rPr>
          <w:rFonts w:ascii="Calibri" w:hAnsi="Calibri"/>
          <w:sz w:val="24"/>
        </w:rPr>
        <w:t xml:space="preserve"> Executive oversight, business decision authority, and resource allocation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Manager:</w:t>
      </w:r>
      <w:r>
        <w:rPr>
          <w:rFonts w:ascii="Calibri" w:hAnsi="Calibri"/>
          <w:sz w:val="24"/>
        </w:rPr>
        <w:t xml:space="preserve"> Infrastructure coordination, change approvals, and technical escalation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Lead:</w:t>
      </w:r>
      <w:r>
        <w:rPr>
          <w:rFonts w:ascii="Calibri" w:hAnsi="Calibri"/>
          <w:sz w:val="24"/>
        </w:rPr>
        <w:t xml:space="preserve"> Policy review, security requirements validation, and acceptance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Firewall Administrators:</w:t>
      </w:r>
      <w:r>
        <w:rPr>
          <w:rFonts w:ascii="Calibri" w:hAnsi="Calibri"/>
          <w:sz w:val="24"/>
        </w:rPr>
        <w:t xml:space="preserve"> Hands-on participation in deployment, testing, and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Operations Team:</w:t>
      </w:r>
      <w:r>
        <w:rPr>
          <w:rFonts w:ascii="Calibri" w:hAnsi="Calibri"/>
          <w:sz w:val="24"/>
        </w:rPr>
        <w:t xml:space="preserve"> Post-deployment system administration and ongoing maintenance</w:t>
      </w:r>
    </w:p>
    <w:p>
      <w:pPr>
        <w:pStyle w:val="Heading3"/>
        <w:spacing w:before="160" w:after="120"/>
        <w:ind w:left="0"/>
      </w:pPr>
      <w:r>
        <w:t>5.3 5.3 Shared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Risk management and issue escalation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 control and maintenance window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Quality assurance and acceptance testing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Communication and stakeholder management throughout project lifecycle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Architecture Overview</w:t>
      </w:r>
    </w:p>
    <w:p>
      <w:r>
        <w:rPr>
          <w:rFonts w:ascii="Calibri" w:hAnsi="Calibri"/>
          <w:sz w:val="24"/>
        </w:rPr>
        <w:t>Multi-zone security architecture with datacenter and branch firewall deployment. SRX4600 HA pair in datacenter with SRX300 firewalls at branch locations.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r>
        <w:rPr>
          <w:rFonts w:ascii="Calibri" w:hAnsi="Calibri"/>
          <w:sz w:val="24"/>
        </w:rPr>
        <w:t>Enterprise-grade security with IPS, ATP Cloud, SecIntel, and SSL inspection meeting PCI DSS and SOC 2 compliance requirements.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r>
        <w:rPr>
          <w:rFonts w:ascii="Calibri" w:hAnsi="Calibri"/>
          <w:sz w:val="24"/>
        </w:rPr>
        <w:t>Comprehensive testing including lab validation, performance testing, HA failover testing, and security validation before production deployment.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r>
        <w:rPr>
          <w:rFonts w:ascii="Calibri" w:hAnsi="Calibri"/>
          <w:sz w:val="24"/>
        </w:rPr>
        <w:t>Complete knowledge transfer with administrator training, documentation delivery, and 30-day warranty support period.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3"/>
        <w:spacing w:before="160" w:after="120"/>
        <w:ind w:left="0"/>
      </w:pPr>
      <w:r>
        <w:t>10.1 6.1 Project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Amount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Hardware &amp; Equipment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SRX4600 HA pair, 10x SRX300, power supplies, transceivers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$164,200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Software Licenses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IPS, SecIntel, ATP Cloud, SSL inspection, Security Director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$98,000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Support &amp; Maintenance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24x7 JTAC support (Year 1)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$48,000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Professional Services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Implementation, integration, testing, training, project management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$101,300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Year 1 Credits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Hardware, software, and support promotional discounts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($29,000)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YEAR 1 INVESTMENT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Complete solution with implementation and first year support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$382,500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Investment Summary</w:t>
      </w:r>
    </w:p>
    <w:p>
      <w:pPr>
        <w:pStyle w:val="Heading3"/>
        <w:spacing w:before="160" w:after="120"/>
        <w:ind w:left="0"/>
      </w:pPr>
      <w:r>
        <w:t>10.2 6.2 Ongoing Annual Costs (Years 2-3)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Annual Cost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Software Subscriptions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$30,600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IPS, SecIntel, ATP Cloud, Content Security annual renewals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Support &amp; Maintenance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$48,000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24x7 Premium JTAC support with 4-hour hardware replacement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ANNUAL COST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$78,600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Recurring annual investment for Years 2-3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Investment Summary</w:t>
      </w:r>
    </w:p>
    <w:p>
      <w:r>
        <w:rPr>
          <w:rFonts w:ascii="Calibri" w:hAnsi="Calibri"/>
          <w:b/>
          <w:sz w:val="24"/>
        </w:rPr>
        <w:t>3-Year Total Cost of Ownership:</w:t>
      </w:r>
      <w:r>
        <w:rPr>
          <w:rFonts w:ascii="Calibri" w:hAnsi="Calibri"/>
          <w:sz w:val="24"/>
        </w:rPr>
        <w:t xml:space="preserve"> $539,700</w:t>
      </w:r>
    </w:p>
    <w:p>
      <w:pPr>
        <w:pStyle w:val="Heading3"/>
        <w:spacing w:before="160" w:after="120"/>
        <w:ind w:left="0"/>
      </w:pPr>
      <w:r>
        <w:t>10.3 6.3 Payment Terms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25%</w:t>
      </w:r>
      <w:r>
        <w:rPr>
          <w:rFonts w:ascii="Calibri" w:hAnsi="Calibri"/>
          <w:sz w:val="24"/>
        </w:rPr>
        <w:t xml:space="preserve"> upon SOW execution and project kickoff ($95,625)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25%</w:t>
      </w:r>
      <w:r>
        <w:rPr>
          <w:rFonts w:ascii="Calibri" w:hAnsi="Calibri"/>
          <w:sz w:val="24"/>
        </w:rPr>
        <w:t xml:space="preserve"> upon completion of Discovery &amp; Planning phase with architecture approval ($95,625)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25%</w:t>
      </w:r>
      <w:r>
        <w:rPr>
          <w:rFonts w:ascii="Calibri" w:hAnsi="Calibri"/>
          <w:sz w:val="24"/>
        </w:rPr>
        <w:t xml:space="preserve"> upon datacenter deployment completion with traffic migration ($95,625)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25%</w:t>
      </w:r>
      <w:r>
        <w:rPr>
          <w:rFonts w:ascii="Calibri" w:hAnsi="Calibri"/>
          <w:sz w:val="24"/>
        </w:rPr>
        <w:t xml:space="preserve"> upon successful project acceptance and production handoff ($95,625)</w:t>
      </w:r>
    </w:p>
    <w:p>
      <w:pPr>
        <w:pStyle w:val="Heading3"/>
        <w:spacing w:before="160" w:after="120"/>
        <w:ind w:left="0"/>
      </w:pPr>
      <w:r>
        <w:t>10.4 6.4 Additional Services</w:t>
      </w:r>
    </w:p>
    <w:p>
      <w:r>
        <w:rPr>
          <w:rFonts w:ascii="Calibri" w:hAnsi="Calibri"/>
          <w:sz w:val="24"/>
        </w:rPr>
        <w:t>Any additional services beyond the scope of this SOW will be quoted separately and require written approval from both parties. Examples include additional sites, custom application signatures, or extended post-deployment support.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Acceptance Criteria</w:t>
      </w:r>
    </w:p>
    <w:p>
      <w:pPr>
        <w:pStyle w:val="Heading3"/>
        <w:spacing w:before="160" w:after="120"/>
        <w:ind w:left="0"/>
      </w:pPr>
      <w:r>
        <w:t>11.1.1 7.1 Technical Acceptance</w:t>
      </w:r>
    </w:p>
    <w:p>
      <w:r>
        <w:rPr>
          <w:rFonts w:ascii="Calibri" w:hAnsi="Calibri"/>
          <w:sz w:val="24"/>
        </w:rPr>
        <w:t>The solution will be considered technically accepted when: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SRX4600 HA pair operational with 80 Gbps throughput validated in performance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All security services enabled (IPS 40 Gbps, SSL inspection 20 Gbps, ATP Cloud, SecIntel)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High availability tested with sub-second failover between active and passive firewalls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All 500+ firewall policies migrated and validated with zero business disruption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10 branch SRX300 firewalls deployed with SD-WAN and VPN connectivity operational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Centralized management via Security Director with all devices monitored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SIEM integration functional with security events forwarded and correlated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Performance baselines established meeting or exceeding specified requirements</w:t>
      </w:r>
    </w:p>
    <w:p>
      <w:pPr>
        <w:pStyle w:val="Heading3"/>
        <w:spacing w:before="160" w:after="120"/>
        <w:ind w:left="0"/>
      </w:pPr>
      <w:r>
        <w:t>11.1.2 7.2 Business Acceptance</w:t>
      </w:r>
    </w:p>
    <w:p>
      <w:r>
        <w:rPr>
          <w:rFonts w:ascii="Calibri" w:hAnsi="Calibri"/>
          <w:sz w:val="24"/>
        </w:rPr>
        <w:t>The project will be considered complete when: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Business stakeholders sign-off on zero-downtime migration with no security incidents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Administrator and operations training completed with knowledge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Documentation delivered and approved including as-built diagrams and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System operational in production environment with 99.9% uptime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30-day warranty period completed with no unresolved critical issues</w:t>
      </w:r>
    </w:p>
    <w:p>
      <w:pPr>
        <w:pStyle w:val="Heading2"/>
        <w:spacing w:before="240" w:after="120"/>
        <w:ind w:left="0"/>
      </w:pPr>
      <w:r>
        <w:t>11.2 Assumptions &amp; Constraints</w:t>
      </w:r>
    </w:p>
    <w:p>
      <w:pPr>
        <w:pStyle w:val="Heading3"/>
        <w:spacing w:before="160" w:after="120"/>
        <w:ind w:left="0"/>
      </w:pPr>
      <w:r>
        <w:t>11.2.1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provide existing firewall configurations in exportable format for policy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Datacenter rack space, power (dual circuits), and cooling capacity available for SRX4600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connectivity and IP addressing plan provided for all deployment locations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Maintenance windows available during off-peak hours for traffic migration activities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team members available for requirements gathering, testing, and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SIEM and monitoring systems operational with API/syslog access for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 environments (AWS, Azure, GCP) accessible with VPN endpoint configuration rights</w:t>
      </w:r>
    </w:p>
    <w:p>
      <w:pPr>
        <w:pStyle w:val="Heading3"/>
        <w:spacing w:before="160" w:after="120"/>
        <w:ind w:left="0"/>
      </w:pPr>
      <w:r>
        <w:t>11.2.2 8.2 Constraints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timeline assumes SRX hardware delivery within 2 weeks of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Traffic migration limited to approved maintenance windows (typically 4-hour blocks)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migration complexity may extend timeline if undocumented rules require research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deployments assume standard network architecture; complex sites may require additional time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activities must comply with client change management and security approval processes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must integrate with existing SIEM, monitoring, and network management tools</w:t>
      </w:r>
    </w:p>
    <w:p>
      <w:pPr>
        <w:pStyle w:val="Heading2"/>
        <w:spacing w:before="240" w:after="120"/>
        <w:ind w:left="0"/>
      </w:pPr>
      <w:r>
        <w:t>11.3 Risk Management</w:t>
      </w:r>
    </w:p>
    <w:p>
      <w:pPr>
        <w:pStyle w:val="Heading3"/>
        <w:spacing w:before="160" w:after="120"/>
        <w:ind w:left="0"/>
      </w:pPr>
      <w:r>
        <w:t>11.3.1 Identified Risks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Risk</w:t>
            </w:r>
          </w:p>
        </w:tc>
        <w:tc>
          <w:tcPr>
            <w:tcW w:type="dxa" w:w="66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Impact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Probability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Mitigation Strategy</w:t>
            </w:r>
          </w:p>
        </w:tc>
      </w:tr>
      <w:tr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Policy Migration Complexity</w:t>
            </w:r>
          </w:p>
        </w:tc>
        <w:tc>
          <w:tcPr>
            <w:tcW w:type="dxa" w:w="66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Lab validation with parallel testing environment before production migration</w:t>
            </w:r>
          </w:p>
        </w:tc>
      </w:tr>
      <w:tr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Hardware Delivery Delays</w:t>
            </w:r>
          </w:p>
        </w:tc>
        <w:tc>
          <w:tcPr>
            <w:tcW w:type="dxa" w:w="66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Order equipment immediately upon SOW execution with expedited shipping</w:t>
            </w:r>
          </w:p>
        </w:tc>
      </w:tr>
      <w:tr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Maintenance Window Constraints</w:t>
            </w:r>
          </w:p>
        </w:tc>
        <w:tc>
          <w:tcPr>
            <w:tcW w:type="dxa" w:w="66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Parallel deployment approach eliminates hard cutover requirements</w:t>
            </w:r>
          </w:p>
        </w:tc>
      </w:tr>
      <w:tr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Undocumented Firewall Rules</w:t>
            </w:r>
          </w:p>
        </w:tc>
        <w:tc>
          <w:tcPr>
            <w:tcW w:type="dxa" w:w="66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Discovery phase includes comprehensive policy audit and stakeholder interviews</w:t>
            </w:r>
          </w:p>
        </w:tc>
      </w:tr>
      <w:tr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Integration Complexity (SIEM)</w:t>
            </w:r>
          </w:p>
        </w:tc>
        <w:tc>
          <w:tcPr>
            <w:tcW w:type="dxa" w:w="66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Early integration testing in lab environment validates compatibility</w:t>
            </w:r>
          </w:p>
        </w:tc>
      </w:tr>
      <w:tr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Resource Availability</w:t>
            </w:r>
          </w:p>
        </w:tc>
        <w:tc>
          <w:tcPr>
            <w:tcW w:type="dxa" w:w="66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289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Cross-train multiple administrators for redundancy during deployment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Terms And Conditions</w:t>
      </w:r>
    </w:p>
    <w:p>
      <w:pPr>
        <w:pStyle w:val="Heading3"/>
        <w:spacing w:before="160" w:after="120"/>
        <w:ind w:left="0"/>
      </w:pPr>
      <w:r>
        <w:t>11.3.2 9.2 Change Management</w:t>
      </w:r>
    </w:p>
    <w:p>
      <w:r>
        <w:rPr>
          <w:rFonts w:ascii="Calibri" w:hAnsi="Calibri"/>
          <w:sz w:val="24"/>
        </w:rPr>
        <w:t>Any changes to project scope, timeline, or budget must be documented through formal change requests and approved by both parties before implementation. Examples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Additional sites beyond 10 branch locations specified in scope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security policy development or application signature creation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Extended post-deployment support beyond 30-day warranty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architecture modifications requiring additional design work</w:t>
      </w:r>
    </w:p>
    <w:p>
      <w:pPr>
        <w:pStyle w:val="Heading2"/>
        <w:spacing w:before="240" w:after="120"/>
        <w:ind w:left="0"/>
      </w:pPr>
      <w:r>
        <w:t>11.4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all security policies, configurations, and business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ownership of proprietary implementation methodologies and automation tools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SRX configurations and customizations become client property upon final payment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Training materials may be used by client for internal purposes only</w:t>
      </w:r>
    </w:p>
    <w:p>
      <w:pPr>
        <w:pStyle w:val="Heading3"/>
        <w:spacing w:before="160" w:after="120"/>
        <w:ind w:left="0"/>
      </w:pPr>
      <w:r>
        <w:t>11.4.1 10.2 Confidentiality</w:t>
      </w:r>
    </w:p>
    <w:p>
      <w:r>
        <w:rPr>
          <w:rFonts w:ascii="Calibri" w:hAnsi="Calibri"/>
          <w:sz w:val="24"/>
        </w:rPr>
        <w:t>Both parties agree to maintain strict confidentiality of security policies, network architecture, and business data throughout the project and beyond. All project team members will sign non-disclosure agreements.</w:t>
      </w:r>
    </w:p>
    <w:p>
      <w:pPr>
        <w:pStyle w:val="Heading3"/>
        <w:spacing w:before="160" w:after="120"/>
        <w:ind w:left="0"/>
      </w:pPr>
      <w:r>
        <w:t>11.4.2 10.3 Warranty &amp;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30-day warranty on all deliverables from production handoff date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Defect resolution included at no additional cost during warranty period (configuration errors, documentation gaps)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Post-warranty support available under separate annual support agreement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warranty per Juniper standard terms (typically 1 year with 24x7 JTAC support)</w:t>
      </w:r>
    </w:p>
    <w:p>
      <w:pPr>
        <w:pStyle w:val="Heading3"/>
        <w:spacing w:before="160" w:after="120"/>
        <w:ind w:left="0"/>
      </w:pPr>
      <w:r>
        <w:t>11.4.3 10.4 Limitation of Liability</w:t>
      </w:r>
    </w:p>
    <w:p>
      <w:r>
        <w:rPr>
          <w:rFonts w:ascii="Calibri" w:hAnsi="Calibri"/>
          <w:sz w:val="24"/>
        </w:rPr>
        <w:t>Vendor's liability is limited to the total contract value ($382,500). Neither party shall be liable for indirect, incidental, or consequential damages including business interruption or data loss.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9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Juniper - SRX Firewall Platform Implementation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